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A3" w:rsidRDefault="008F4EB6" w:rsidP="00685F1A">
      <w:pPr>
        <w:pStyle w:val="Subtitle"/>
      </w:pPr>
      <w:r>
        <w:rPr>
          <w:noProof/>
        </w:rPr>
        <mc:AlternateContent>
          <mc:Choice Requires="wps">
            <w:drawing>
              <wp:anchor distT="0" distB="0" distL="114300" distR="114300" simplePos="0" relativeHeight="251669504" behindDoc="0" locked="0" layoutInCell="1" allowOverlap="1" wp14:anchorId="0EF5E240" wp14:editId="7BB2B8C2">
                <wp:simplePos x="0" y="0"/>
                <wp:positionH relativeFrom="page">
                  <wp:posOffset>-95250</wp:posOffset>
                </wp:positionH>
                <wp:positionV relativeFrom="paragraph">
                  <wp:posOffset>-2209800</wp:posOffset>
                </wp:positionV>
                <wp:extent cx="7990840" cy="6315075"/>
                <wp:effectExtent l="0" t="0" r="10160" b="28575"/>
                <wp:wrapNone/>
                <wp:docPr id="7" name="Rectangle 7"/>
                <wp:cNvGraphicFramePr/>
                <a:graphic xmlns:a="http://schemas.openxmlformats.org/drawingml/2006/main">
                  <a:graphicData uri="http://schemas.microsoft.com/office/word/2010/wordprocessingShape">
                    <wps:wsp>
                      <wps:cNvSpPr/>
                      <wps:spPr>
                        <a:xfrm>
                          <a:off x="0" y="0"/>
                          <a:ext cx="7990840" cy="63150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5pt;margin-top:-174pt;width:629.2pt;height:497.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" fillcolor="#1f3763 [1604]" strokecolor="#1f3763 [1604]" strokeweight="1pt">
                <w10:wrap anchorx="page"/>
              </v:rect>
            </w:pict>
          </mc:Fallback>
        </mc:AlternateContent>
      </w:r>
      <w:r>
        <w:rPr>
          <w:noProof/>
        </w:rPr>
        <mc:AlternateContent>
          <mc:Choice Requires="wps">
            <w:drawing>
              <wp:anchor distT="0" distB="0" distL="114300" distR="114300" simplePos="0" relativeHeight="251676672" behindDoc="0" locked="0" layoutInCell="1" allowOverlap="1" wp14:anchorId="28521C36" wp14:editId="18C58358">
                <wp:simplePos x="0" y="0"/>
                <wp:positionH relativeFrom="margin">
                  <wp:posOffset>-1057275</wp:posOffset>
                </wp:positionH>
                <wp:positionV relativeFrom="paragraph">
                  <wp:posOffset>-904876</wp:posOffset>
                </wp:positionV>
                <wp:extent cx="8006080" cy="676275"/>
                <wp:effectExtent l="0" t="0" r="0" b="9525"/>
                <wp:wrapNone/>
                <wp:docPr id="16" name="Rectangle 16"/>
                <wp:cNvGraphicFramePr/>
                <a:graphic xmlns:a="http://schemas.openxmlformats.org/drawingml/2006/main">
                  <a:graphicData uri="http://schemas.microsoft.com/office/word/2010/wordprocessingShape">
                    <wps:wsp>
                      <wps:cNvSpPr/>
                      <wps:spPr>
                        <a:xfrm>
                          <a:off x="0" y="0"/>
                          <a:ext cx="8006080"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83.25pt;margin-top:-71.25pt;width:630.4pt;height:5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" fillcolor="white [3212]" stroked="f" strokeweight="1pt">
                <w10:wrap anchorx="margin"/>
              </v:rect>
            </w:pict>
          </mc:Fallback>
        </mc:AlternateContent>
      </w:r>
      <w:r w:rsidRPr="008F4EB6">
        <w:rPr>
          <w:noProof/>
        </w:rPr>
        <w:drawing>
          <wp:anchor distT="0" distB="0" distL="114300" distR="114300" simplePos="0" relativeHeight="251677696" behindDoc="1" locked="0" layoutInCell="1" allowOverlap="1" wp14:anchorId="7028C222" wp14:editId="546AEDB4">
            <wp:simplePos x="0" y="0"/>
            <wp:positionH relativeFrom="column">
              <wp:posOffset>4290695</wp:posOffset>
            </wp:positionH>
            <wp:positionV relativeFrom="paragraph">
              <wp:posOffset>0</wp:posOffset>
            </wp:positionV>
            <wp:extent cx="2057400" cy="788089"/>
            <wp:effectExtent l="0" t="0" r="0" b="0"/>
            <wp:wrapTight wrapText="bothSides">
              <wp:wrapPolygon edited="0">
                <wp:start x="3000" y="0"/>
                <wp:lineTo x="0" y="5744"/>
                <wp:lineTo x="0" y="8355"/>
                <wp:lineTo x="200" y="17753"/>
                <wp:lineTo x="2400" y="20886"/>
                <wp:lineTo x="21400" y="20886"/>
                <wp:lineTo x="21400" y="10443"/>
                <wp:lineTo x="20600" y="9921"/>
                <wp:lineTo x="7400" y="5744"/>
                <wp:lineTo x="4000" y="0"/>
                <wp:lineTo x="3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88089"/>
                    </a:xfrm>
                    <a:prstGeom prst="rect">
                      <a:avLst/>
                    </a:prstGeom>
                    <a:noFill/>
                    <a:ln>
                      <a:noFill/>
                    </a:ln>
                    <a:effectLst>
                      <a:glow>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F95D4A">
        <w:rPr>
          <w:noProof/>
        </w:rPr>
        <mc:AlternateContent>
          <mc:Choice Requires="wps">
            <w:drawing>
              <wp:anchor distT="0" distB="0" distL="114300" distR="114300" simplePos="0" relativeHeight="251675648" behindDoc="0" locked="0" layoutInCell="1" allowOverlap="1" wp14:anchorId="54F4DC2E" wp14:editId="50AFB4F7">
                <wp:simplePos x="0" y="0"/>
                <wp:positionH relativeFrom="page">
                  <wp:posOffset>-91440</wp:posOffset>
                </wp:positionH>
                <wp:positionV relativeFrom="paragraph">
                  <wp:posOffset>-2032000</wp:posOffset>
                </wp:positionV>
                <wp:extent cx="7764145" cy="1049020"/>
                <wp:effectExtent l="0" t="0" r="27305" b="17780"/>
                <wp:wrapNone/>
                <wp:docPr id="15" name="Text Box 150"/>
                <wp:cNvGraphicFramePr/>
                <a:graphic xmlns:a="http://schemas.openxmlformats.org/drawingml/2006/main">
                  <a:graphicData uri="http://schemas.microsoft.com/office/word/2010/wordprocessingShape">
                    <wps:wsp>
                      <wps:cNvSpPr txBox="1"/>
                      <wps:spPr>
                        <a:xfrm>
                          <a:off x="0" y="0"/>
                          <a:ext cx="7764145" cy="1049020"/>
                        </a:xfrm>
                        <a:prstGeom prst="rect">
                          <a:avLst/>
                        </a:prstGeom>
                        <a:solidFill>
                          <a:sysClr val="window" lastClr="FFFFFF"/>
                        </a:solidFill>
                        <a:ln w="6350">
                          <a:solidFill>
                            <a:sysClr val="window" lastClr="FFFFFF"/>
                          </a:solidFill>
                        </a:ln>
                      </wps:spPr>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margin-left:-7.2pt;margin-top:-160pt;width:611.35pt;height:82.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" fillcolor="window" strokecolor="window" strokeweight=".5pt">
                <w10:wrap anchorx="page"/>
              </v:shape>
            </w:pict>
          </mc:Fallback>
        </mc:AlternateContent>
      </w:r>
      <w:r w:rsidR="00F95D4A">
        <w:rPr>
          <w:noProof/>
        </w:rPr>
        <mc:AlternateContent>
          <mc:Choice Requires="wps">
            <w:drawing>
              <wp:anchor distT="0" distB="0" distL="114300" distR="114300" simplePos="0" relativeHeight="251673600" behindDoc="0" locked="0" layoutInCell="1" allowOverlap="1" wp14:anchorId="25BD512B" wp14:editId="1A8B0B8E">
                <wp:simplePos x="0" y="0"/>
                <wp:positionH relativeFrom="page">
                  <wp:posOffset>-243840</wp:posOffset>
                </wp:positionH>
                <wp:positionV relativeFrom="paragraph">
                  <wp:posOffset>-2184400</wp:posOffset>
                </wp:positionV>
                <wp:extent cx="7764145" cy="1049020"/>
                <wp:effectExtent l="0" t="0" r="27305" b="17780"/>
                <wp:wrapNone/>
                <wp:docPr id="14" name="Text Box 150"/>
                <wp:cNvGraphicFramePr/>
                <a:graphic xmlns:a="http://schemas.openxmlformats.org/drawingml/2006/main">
                  <a:graphicData uri="http://schemas.microsoft.com/office/word/2010/wordprocessingShape">
                    <wps:wsp>
                      <wps:cNvSpPr txBox="1"/>
                      <wps:spPr>
                        <a:xfrm>
                          <a:off x="0" y="0"/>
                          <a:ext cx="7764145" cy="1049020"/>
                        </a:xfrm>
                        <a:prstGeom prst="rect">
                          <a:avLst/>
                        </a:prstGeom>
                        <a:solidFill>
                          <a:sysClr val="window" lastClr="FFFFFF"/>
                        </a:solidFill>
                        <a:ln w="6350">
                          <a:solidFill>
                            <a:sysClr val="window" lastClr="FFFFFF"/>
                          </a:solidFill>
                        </a:ln>
                      </wps:spPr>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26" type="#_x0000_t202" style="position:absolute;margin-left:-19.2pt;margin-top:-172pt;width:611.35pt;height:8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" fillcolor="window" strokecolor="window" strokeweight=".5pt">
                <w10:wrap anchorx="page"/>
              </v:shape>
            </w:pict>
          </mc:Fallback>
        </mc:AlternateContent>
      </w:r>
    </w:p>
    <w:p w:rsidR="002B7340" w:rsidRDefault="002B7340">
      <w:pPr>
        <w:rPr>
          <w:rFonts w:ascii="Arial Nova" w:hAnsi="Arial Nova"/>
          <w:b/>
          <w:sz w:val="72"/>
          <w:szCs w:val="72"/>
        </w:rPr>
      </w:pPr>
    </w:p>
    <w:p w:rsidR="006A04A3" w:rsidRPr="006A04A3" w:rsidRDefault="008F4EB6">
      <w:pPr>
        <w:rPr>
          <w:rFonts w:ascii="Arial Nova" w:hAnsi="Arial Nova"/>
          <w:sz w:val="48"/>
          <w:szCs w:val="48"/>
        </w:rPr>
      </w:pPr>
      <w:r>
        <w:rPr>
          <w:noProof/>
        </w:rPr>
        <mc:AlternateContent>
          <mc:Choice Requires="wps">
            <w:drawing>
              <wp:anchor distT="0" distB="0" distL="114300" distR="114300" simplePos="0" relativeHeight="251670528" behindDoc="0" locked="0" layoutInCell="1" allowOverlap="1" wp14:anchorId="4FFA9157" wp14:editId="3F1F6D8B">
                <wp:simplePos x="0" y="0"/>
                <wp:positionH relativeFrom="margin">
                  <wp:posOffset>-270510</wp:posOffset>
                </wp:positionH>
                <wp:positionV relativeFrom="paragraph">
                  <wp:posOffset>187325</wp:posOffset>
                </wp:positionV>
                <wp:extent cx="6614160" cy="2305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14160" cy="2305050"/>
                        </a:xfrm>
                        <a:prstGeom prst="rect">
                          <a:avLst/>
                        </a:prstGeom>
                        <a:solidFill>
                          <a:schemeClr val="lt1">
                            <a:alpha val="0"/>
                          </a:schemeClr>
                        </a:solidFill>
                        <a:ln w="6350">
                          <a:noFill/>
                        </a:ln>
                      </wps:spPr>
                      <wps:txbx>
                        <w:txbxContent>
                          <w:p w:rsidR="00F94A62" w:rsidRPr="008F4EB6" w:rsidRDefault="00F94A62" w:rsidP="004B013C">
                            <w:pPr>
                              <w:spacing w:after="0" w:line="240" w:lineRule="auto"/>
                              <w:rPr>
                                <w:rFonts w:ascii="Arial Nova" w:hAnsi="Arial Nova"/>
                                <w:b/>
                                <w:color w:val="FFFFFF" w:themeColor="background1"/>
                                <w:sz w:val="64"/>
                                <w:szCs w:val="64"/>
                              </w:rPr>
                            </w:pPr>
                            <w:r w:rsidRPr="008F4EB6">
                              <w:rPr>
                                <w:rFonts w:ascii="Arial Nova" w:hAnsi="Arial Nova"/>
                                <w:b/>
                                <w:color w:val="FFFFFF" w:themeColor="background1"/>
                                <w:sz w:val="64"/>
                                <w:szCs w:val="64"/>
                              </w:rPr>
                              <w:t xml:space="preserve">Kings County Local Oral Health Program (LOHP) Evaluation Plan </w:t>
                            </w:r>
                          </w:p>
                          <w:p w:rsidR="00F94A62" w:rsidRPr="008F4EB6" w:rsidRDefault="00F94A62" w:rsidP="004B013C">
                            <w:pPr>
                              <w:rPr>
                                <w:rFonts w:ascii="Arial Nova" w:hAnsi="Arial Nova"/>
                                <w:b/>
                                <w:color w:val="FFFFFF" w:themeColor="background1"/>
                                <w:sz w:val="64"/>
                                <w:szCs w:val="64"/>
                              </w:rPr>
                            </w:pPr>
                            <w:r w:rsidRPr="008F4EB6">
                              <w:rPr>
                                <w:rFonts w:ascii="Arial Nova" w:hAnsi="Arial Nova"/>
                                <w:b/>
                                <w:color w:val="FFFFFF" w:themeColor="background1"/>
                                <w:sz w:val="64"/>
                                <w:szCs w:val="64"/>
                              </w:rPr>
                              <w:t xml:space="preserve">FY 2019-2022 </w:t>
                            </w:r>
                          </w:p>
                          <w:p w:rsidR="00F94A62" w:rsidRPr="008F4EB6" w:rsidRDefault="00F94A62" w:rsidP="008F4EB6">
                            <w:pPr>
                              <w:spacing w:after="0" w:line="240" w:lineRule="auto"/>
                              <w:rPr>
                                <w:rFonts w:ascii="Arial Nova" w:hAnsi="Arial Nova"/>
                                <w:bCs/>
                                <w:color w:val="FFFFFF" w:themeColor="background1"/>
                                <w:sz w:val="36"/>
                                <w:szCs w:val="36"/>
                              </w:rPr>
                            </w:pPr>
                            <w:r w:rsidRPr="008F4EB6">
                              <w:rPr>
                                <w:rFonts w:ascii="Arial Nova" w:hAnsi="Arial Nova"/>
                                <w:bCs/>
                                <w:color w:val="FFFFFF" w:themeColor="background1"/>
                                <w:sz w:val="36"/>
                                <w:szCs w:val="36"/>
                              </w:rPr>
                              <w:t>Prepared by</w:t>
                            </w:r>
                          </w:p>
                          <w:p w:rsidR="00F94A62" w:rsidRPr="008F4EB6" w:rsidRDefault="00F94A62" w:rsidP="008F4EB6">
                            <w:pPr>
                              <w:spacing w:after="0" w:line="240" w:lineRule="auto"/>
                              <w:rPr>
                                <w:rFonts w:ascii="Arial Nova" w:hAnsi="Arial Nova"/>
                                <w:b/>
                                <w:color w:val="FFFFFF" w:themeColor="background1"/>
                                <w:sz w:val="36"/>
                                <w:szCs w:val="36"/>
                              </w:rPr>
                            </w:pPr>
                            <w:r w:rsidRPr="008F4EB6">
                              <w:rPr>
                                <w:rFonts w:ascii="Arial Nova" w:hAnsi="Arial Nova"/>
                                <w:bCs/>
                                <w:color w:val="FFFFFF" w:themeColor="background1"/>
                                <w:sz w:val="36"/>
                                <w:szCs w:val="36"/>
                              </w:rPr>
                              <w:t>EMT Associates, Inc.</w:t>
                            </w:r>
                          </w:p>
                          <w:p w:rsidR="00F94A62" w:rsidRPr="004B013C" w:rsidRDefault="00F94A62" w:rsidP="004B013C">
                            <w:pPr>
                              <w:rPr>
                                <w:rFonts w:ascii="Arial Nova" w:hAnsi="Arial Nova"/>
                                <w:b/>
                                <w:color w:val="FFFFFF" w:themeColor="background1"/>
                                <w:sz w:val="72"/>
                                <w:szCs w:val="72"/>
                              </w:rPr>
                            </w:pPr>
                          </w:p>
                          <w:p w:rsidR="00F94A62" w:rsidRDefault="00F9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6" type="#_x0000_t202" style="position:absolute;margin-left:-21.3pt;margin-top:14.75pt;width:520.8pt;height:181.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" fillcolor="white [3201]" stroked="f" strokeweight=".5pt">
                <v:fill opacity="0"/>
                <v:textbox>
                  <w:txbxContent>
                    <w:p w:rsidR="00F94A62" w:rsidRPr="008F4EB6" w:rsidRDefault="00F94A62" w:rsidP="004B013C">
                      <w:pPr>
                        <w:spacing w:after="0" w:line="240" w:lineRule="auto"/>
                        <w:rPr>
                          <w:rFonts w:ascii="Arial Nova" w:hAnsi="Arial Nova"/>
                          <w:b/>
                          <w:color w:val="FFFFFF" w:themeColor="background1"/>
                          <w:sz w:val="64"/>
                          <w:szCs w:val="64"/>
                        </w:rPr>
                      </w:pPr>
                      <w:r w:rsidRPr="008F4EB6">
                        <w:rPr>
                          <w:rFonts w:ascii="Arial Nova" w:hAnsi="Arial Nova"/>
                          <w:b/>
                          <w:color w:val="FFFFFF" w:themeColor="background1"/>
                          <w:sz w:val="64"/>
                          <w:szCs w:val="64"/>
                        </w:rPr>
                        <w:t xml:space="preserve">Kings County Local Oral Health Program (LOHP) Evaluation Plan </w:t>
                      </w:r>
                    </w:p>
                    <w:p w:rsidR="00F94A62" w:rsidRPr="008F4EB6" w:rsidRDefault="00F94A62" w:rsidP="004B013C">
                      <w:pPr>
                        <w:rPr>
                          <w:rFonts w:ascii="Arial Nova" w:hAnsi="Arial Nova"/>
                          <w:b/>
                          <w:color w:val="FFFFFF" w:themeColor="background1"/>
                          <w:sz w:val="64"/>
                          <w:szCs w:val="64"/>
                        </w:rPr>
                      </w:pPr>
                      <w:r w:rsidRPr="008F4EB6">
                        <w:rPr>
                          <w:rFonts w:ascii="Arial Nova" w:hAnsi="Arial Nova"/>
                          <w:b/>
                          <w:color w:val="FFFFFF" w:themeColor="background1"/>
                          <w:sz w:val="64"/>
                          <w:szCs w:val="64"/>
                        </w:rPr>
                        <w:t xml:space="preserve">FY 2019-2022 </w:t>
                      </w:r>
                    </w:p>
                    <w:p w:rsidR="00F94A62" w:rsidRPr="008F4EB6" w:rsidRDefault="00F94A62" w:rsidP="008F4EB6">
                      <w:pPr>
                        <w:spacing w:after="0" w:line="240" w:lineRule="auto"/>
                        <w:rPr>
                          <w:rFonts w:ascii="Arial Nova" w:hAnsi="Arial Nova"/>
                          <w:bCs/>
                          <w:color w:val="FFFFFF" w:themeColor="background1"/>
                          <w:sz w:val="36"/>
                          <w:szCs w:val="36"/>
                        </w:rPr>
                      </w:pPr>
                      <w:r w:rsidRPr="008F4EB6">
                        <w:rPr>
                          <w:rFonts w:ascii="Arial Nova" w:hAnsi="Arial Nova"/>
                          <w:bCs/>
                          <w:color w:val="FFFFFF" w:themeColor="background1"/>
                          <w:sz w:val="36"/>
                          <w:szCs w:val="36"/>
                        </w:rPr>
                        <w:t>Prepared by</w:t>
                      </w:r>
                    </w:p>
                    <w:p w:rsidR="00F94A62" w:rsidRPr="008F4EB6" w:rsidRDefault="00F94A62" w:rsidP="008F4EB6">
                      <w:pPr>
                        <w:spacing w:after="0" w:line="240" w:lineRule="auto"/>
                        <w:rPr>
                          <w:rFonts w:ascii="Arial Nova" w:hAnsi="Arial Nova"/>
                          <w:b/>
                          <w:color w:val="FFFFFF" w:themeColor="background1"/>
                          <w:sz w:val="36"/>
                          <w:szCs w:val="36"/>
                        </w:rPr>
                      </w:pPr>
                      <w:r w:rsidRPr="008F4EB6">
                        <w:rPr>
                          <w:rFonts w:ascii="Arial Nova" w:hAnsi="Arial Nova"/>
                          <w:bCs/>
                          <w:color w:val="FFFFFF" w:themeColor="background1"/>
                          <w:sz w:val="36"/>
                          <w:szCs w:val="36"/>
                        </w:rPr>
                        <w:t>EMT Associates, Inc.</w:t>
                      </w:r>
                    </w:p>
                    <w:p w:rsidR="00F94A62" w:rsidRPr="004B013C" w:rsidRDefault="00F94A62" w:rsidP="004B013C">
                      <w:pPr>
                        <w:rPr>
                          <w:rFonts w:ascii="Arial Nova" w:hAnsi="Arial Nova"/>
                          <w:b/>
                          <w:color w:val="FFFFFF" w:themeColor="background1"/>
                          <w:sz w:val="72"/>
                          <w:szCs w:val="72"/>
                        </w:rPr>
                      </w:pPr>
                    </w:p>
                    <w:p w:rsidR="00F94A62" w:rsidRDefault="00F94A62"/>
                  </w:txbxContent>
                </v:textbox>
                <w10:wrap anchorx="margin"/>
              </v:shape>
            </w:pict>
          </mc:Fallback>
        </mc:AlternateContent>
      </w:r>
      <w:r w:rsidR="004B013C">
        <w:rPr>
          <w:noProof/>
        </w:rPr>
        <mc:AlternateContent>
          <mc:Choice Requires="wps">
            <w:drawing>
              <wp:anchor distT="0" distB="0" distL="114300" distR="114300" simplePos="0" relativeHeight="251664384" behindDoc="0" locked="0" layoutInCell="1" allowOverlap="1" wp14:anchorId="3E05D34F" wp14:editId="40E1ACB4">
                <wp:simplePos x="0" y="0"/>
                <wp:positionH relativeFrom="page">
                  <wp:align>right</wp:align>
                </wp:positionH>
                <wp:positionV relativeFrom="paragraph">
                  <wp:posOffset>474345</wp:posOffset>
                </wp:positionV>
                <wp:extent cx="7757160" cy="83820"/>
                <wp:effectExtent l="0" t="0" r="0" b="0"/>
                <wp:wrapNone/>
                <wp:docPr id="28" name="Rectangle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3BDB2A-26FC-409C-98EC-18AFCF9E0091}"/>
                    </a:ext>
                  </a:extLst>
                </wp:docPr>
                <wp:cNvGraphicFramePr/>
                <a:graphic xmlns:a="http://schemas.openxmlformats.org/drawingml/2006/main">
                  <a:graphicData uri="http://schemas.microsoft.com/office/word/2010/wordprocessingShape">
                    <wps:wsp>
                      <wps:cNvSpPr/>
                      <wps:spPr>
                        <a:xfrm>
                          <a:off x="0" y="0"/>
                          <a:ext cx="7757160" cy="83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559.6pt;margin-top:37.35pt;width:610.8pt;height:6.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" fillcolor="white [3212]" stroked="f" strokeweight="1pt">
                <w10:wrap anchorx="page"/>
              </v:rect>
            </w:pict>
          </mc:Fallback>
        </mc:AlternateContent>
      </w:r>
    </w:p>
    <w:p w:rsidR="006A04A3" w:rsidRDefault="006A04A3">
      <w:pPr>
        <w:rPr>
          <w:rFonts w:ascii="Arial Nova" w:hAnsi="Arial Nova"/>
          <w:sz w:val="36"/>
          <w:szCs w:val="36"/>
        </w:rPr>
      </w:pPr>
    </w:p>
    <w:p w:rsidR="006A04A3" w:rsidRDefault="006A04A3">
      <w:pPr>
        <w:rPr>
          <w:rFonts w:ascii="Arial Nova" w:hAnsi="Arial Nova"/>
          <w:sz w:val="36"/>
          <w:szCs w:val="36"/>
        </w:rPr>
      </w:pPr>
    </w:p>
    <w:p w:rsidR="006A04A3" w:rsidRDefault="006A04A3">
      <w:pPr>
        <w:rPr>
          <w:rFonts w:ascii="Arial Nova" w:hAnsi="Arial Nova"/>
          <w:sz w:val="36"/>
          <w:szCs w:val="36"/>
        </w:rPr>
      </w:pPr>
    </w:p>
    <w:p w:rsidR="006A04A3" w:rsidRDefault="006A04A3">
      <w:pPr>
        <w:rPr>
          <w:rFonts w:ascii="Arial Nova" w:hAnsi="Arial Nova"/>
          <w:sz w:val="36"/>
          <w:szCs w:val="36"/>
        </w:rPr>
      </w:pPr>
    </w:p>
    <w:p w:rsidR="006A04A3" w:rsidRPr="006A04A3" w:rsidRDefault="00BA4219">
      <w:pPr>
        <w:rPr>
          <w:rFonts w:ascii="Arial Nova" w:hAnsi="Arial Nova"/>
          <w:sz w:val="36"/>
          <w:szCs w:val="36"/>
        </w:rPr>
      </w:pPr>
      <w:r w:rsidRPr="00BA4219">
        <w:rPr>
          <w:noProof/>
        </w:rPr>
        <w:t xml:space="preserve"> </w:t>
      </w:r>
    </w:p>
    <w:p w:rsidR="006A04A3" w:rsidRPr="006A04A3" w:rsidRDefault="006A04A3" w:rsidP="002B7340">
      <w:pPr>
        <w:spacing w:after="0" w:line="240" w:lineRule="auto"/>
        <w:rPr>
          <w:rFonts w:ascii="Arial Nova" w:hAnsi="Arial Nova"/>
          <w:sz w:val="36"/>
          <w:szCs w:val="36"/>
        </w:rPr>
      </w:pPr>
    </w:p>
    <w:p w:rsidR="006A04A3" w:rsidRPr="006A04A3" w:rsidRDefault="006A04A3" w:rsidP="002B7340">
      <w:pPr>
        <w:spacing w:after="0" w:line="240" w:lineRule="auto"/>
        <w:rPr>
          <w:rFonts w:ascii="Arial Nova" w:hAnsi="Arial Nova"/>
          <w:sz w:val="36"/>
          <w:szCs w:val="36"/>
        </w:rPr>
      </w:pPr>
    </w:p>
    <w:p w:rsidR="006A04A3" w:rsidRPr="006A04A3" w:rsidRDefault="00DC677A">
      <w:pPr>
        <w:rPr>
          <w:rFonts w:ascii="Arial Nova" w:hAnsi="Arial Nova"/>
          <w:sz w:val="48"/>
          <w:szCs w:val="48"/>
        </w:rPr>
      </w:pPr>
      <w:r>
        <w:rPr>
          <w:noProof/>
        </w:rPr>
        <mc:AlternateContent>
          <mc:Choice Requires="wps">
            <w:drawing>
              <wp:anchor distT="0" distB="0" distL="114300" distR="114300" simplePos="0" relativeHeight="251671552" behindDoc="0" locked="0" layoutInCell="1" allowOverlap="1" wp14:anchorId="089F687F" wp14:editId="2A035DA1">
                <wp:simplePos x="0" y="0"/>
                <wp:positionH relativeFrom="column">
                  <wp:posOffset>2943225</wp:posOffset>
                </wp:positionH>
                <wp:positionV relativeFrom="paragraph">
                  <wp:posOffset>154939</wp:posOffset>
                </wp:positionV>
                <wp:extent cx="123825" cy="43148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123825" cy="431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31.75pt;margin-top:12.2pt;width:9.75pt;height:3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" fillcolor="white [3212]" stroked="f" strokeweight="1pt"/>
            </w:pict>
          </mc:Fallback>
        </mc:AlternateContent>
      </w:r>
      <w:r>
        <w:rPr>
          <w:noProof/>
        </w:rPr>
        <w:drawing>
          <wp:anchor distT="0" distB="0" distL="114300" distR="114300" simplePos="0" relativeHeight="251658240" behindDoc="0" locked="0" layoutInCell="1" allowOverlap="1" wp14:anchorId="1F0EEAE8" wp14:editId="7D04FFFB">
            <wp:simplePos x="0" y="0"/>
            <wp:positionH relativeFrom="page">
              <wp:posOffset>19270</wp:posOffset>
            </wp:positionH>
            <wp:positionV relativeFrom="paragraph">
              <wp:posOffset>194310</wp:posOffset>
            </wp:positionV>
            <wp:extent cx="3962400" cy="4626232"/>
            <wp:effectExtent l="0" t="0" r="0" b="3175"/>
            <wp:wrapNone/>
            <wp:docPr id="9" name="Picture 8" descr="A picture containing wall, indoor, person, orang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6CE9A32-580F-43A9-AE90-F231A5B1B3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wall, indoor, person, orang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6CE9A32-580F-43A9-AE90-F231A5B1B32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r="42907"/>
                    <a:stretch/>
                  </pic:blipFill>
                  <pic:spPr>
                    <a:xfrm>
                      <a:off x="0" y="0"/>
                      <a:ext cx="3962400" cy="46262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9658186" wp14:editId="296EF419">
            <wp:simplePos x="0" y="0"/>
            <wp:positionH relativeFrom="page">
              <wp:posOffset>3963035</wp:posOffset>
            </wp:positionH>
            <wp:positionV relativeFrom="paragraph">
              <wp:posOffset>189865</wp:posOffset>
            </wp:positionV>
            <wp:extent cx="3801745" cy="4277360"/>
            <wp:effectExtent l="0" t="0" r="8255" b="8890"/>
            <wp:wrapNone/>
            <wp:docPr id="6" name="Picture 6" descr="A picture containing person,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866847332.jpg"/>
                    <pic:cNvPicPr/>
                  </pic:nvPicPr>
                  <pic:blipFill rotWithShape="1">
                    <a:blip r:embed="rId11" cstate="print">
                      <a:extLst>
                        <a:ext uri="{28A0092B-C50C-407E-A947-70E740481C1C}">
                          <a14:useLocalDpi xmlns:a14="http://schemas.microsoft.com/office/drawing/2010/main" val="0"/>
                        </a:ext>
                      </a:extLst>
                    </a:blip>
                    <a:srcRect l="32934" t="179" r="12905" b="6734"/>
                    <a:stretch/>
                  </pic:blipFill>
                  <pic:spPr bwMode="auto">
                    <a:xfrm>
                      <a:off x="0" y="0"/>
                      <a:ext cx="3801745" cy="427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04A3" w:rsidRPr="006A04A3" w:rsidRDefault="006A04A3">
      <w:pPr>
        <w:rPr>
          <w:rFonts w:ascii="Arial Nova" w:hAnsi="Arial Nova"/>
          <w:sz w:val="48"/>
          <w:szCs w:val="48"/>
        </w:rPr>
      </w:pPr>
    </w:p>
    <w:p w:rsidR="006A04A3" w:rsidRDefault="006A04A3"/>
    <w:p w:rsidR="002B7340" w:rsidRDefault="00DC677A">
      <w:pPr>
        <w:rPr>
          <w:rFonts w:ascii="Arial Nova" w:hAnsi="Arial Nova"/>
          <w:sz w:val="36"/>
          <w:szCs w:val="36"/>
        </w:rPr>
      </w:pPr>
      <w:r>
        <w:rPr>
          <w:rFonts w:ascii="Arial Nova" w:hAnsi="Arial Nova"/>
          <w:b/>
          <w:noProof/>
          <w:sz w:val="72"/>
          <w:szCs w:val="72"/>
        </w:rPr>
        <w:drawing>
          <wp:anchor distT="0" distB="0" distL="114300" distR="114300" simplePos="0" relativeHeight="251666432" behindDoc="0" locked="0" layoutInCell="1" allowOverlap="1" wp14:anchorId="5CC0EF02" wp14:editId="19AAC21D">
            <wp:simplePos x="0" y="0"/>
            <wp:positionH relativeFrom="column">
              <wp:posOffset>4210050</wp:posOffset>
            </wp:positionH>
            <wp:positionV relativeFrom="paragraph">
              <wp:posOffset>3356010</wp:posOffset>
            </wp:positionV>
            <wp:extent cx="2397263" cy="589880"/>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117" cy="59673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55EE229" wp14:editId="6752C5D2">
                <wp:simplePos x="0" y="0"/>
                <wp:positionH relativeFrom="page">
                  <wp:posOffset>0</wp:posOffset>
                </wp:positionH>
                <wp:positionV relativeFrom="paragraph">
                  <wp:posOffset>3185794</wp:posOffset>
                </wp:positionV>
                <wp:extent cx="7764145" cy="934085"/>
                <wp:effectExtent l="0" t="0" r="8255" b="0"/>
                <wp:wrapNone/>
                <wp:docPr id="20" name="Text Box 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50DA36C-22E9-4ED5-A2A3-041FB0A1D67A}"/>
                    </a:ext>
                  </a:extLst>
                </wp:docPr>
                <wp:cNvGraphicFramePr/>
                <a:graphic xmlns:a="http://schemas.openxmlformats.org/drawingml/2006/main">
                  <a:graphicData uri="http://schemas.microsoft.com/office/word/2010/wordprocessingShape">
                    <wps:wsp>
                      <wps:cNvSpPr txBox="1"/>
                      <wps:spPr>
                        <a:xfrm>
                          <a:off x="0" y="0"/>
                          <a:ext cx="7764145" cy="934085"/>
                        </a:xfrm>
                        <a:prstGeom prst="rect">
                          <a:avLst/>
                        </a:prstGeom>
                        <a:solidFill>
                          <a:schemeClr val="lt1"/>
                        </a:solidFill>
                        <a:ln w="6350">
                          <a:noFill/>
                        </a:ln>
                      </wps:spPr>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26" type="#_x0000_t202" style="position:absolute;margin-left:0;margin-top:250.85pt;width:611.35pt;height:7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" fillcolor="white [3201]" stroked="f" strokeweight=".5pt">
                <w10:wrap anchorx="page"/>
              </v:shape>
            </w:pict>
          </mc:Fallback>
        </mc:AlternateContent>
      </w:r>
      <w:r w:rsidR="002B7340">
        <w:rPr>
          <w:rFonts w:ascii="Arial Nova" w:hAnsi="Arial Nova"/>
          <w:sz w:val="36"/>
          <w:szCs w:val="36"/>
        </w:rPr>
        <w:br w:type="page"/>
      </w:r>
    </w:p>
    <w:sdt>
      <w:sdtPr>
        <w:rPr>
          <w:rFonts w:asciiTheme="minorHAnsi" w:eastAsiaTheme="minorHAnsi" w:hAnsiTheme="minorHAnsi" w:cstheme="minorBidi"/>
          <w:bCs w:val="0"/>
          <w:color w:val="auto"/>
          <w:sz w:val="22"/>
          <w:szCs w:val="22"/>
        </w:rPr>
        <w:id w:val="133142395"/>
        <w:docPartObj>
          <w:docPartGallery w:val="Table of Contents"/>
          <w:docPartUnique/>
        </w:docPartObj>
      </w:sdtPr>
      <w:sdtEndPr>
        <w:rPr>
          <w:b/>
          <w:noProof/>
        </w:rPr>
      </w:sdtEndPr>
      <w:sdtContent>
        <w:p w:rsidR="005C012E" w:rsidRPr="005C012E" w:rsidRDefault="005C012E" w:rsidP="005C012E">
          <w:pPr>
            <w:pStyle w:val="TOCHeading"/>
            <w:rPr>
              <w:rFonts w:ascii="Arial Nova" w:eastAsiaTheme="minorHAnsi" w:hAnsi="Arial Nova" w:cstheme="minorBidi"/>
              <w:b/>
              <w:color w:val="auto"/>
              <w:sz w:val="36"/>
              <w:szCs w:val="36"/>
            </w:rPr>
          </w:pPr>
          <w:r w:rsidRPr="005C012E">
            <w:rPr>
              <w:rFonts w:ascii="Arial Nova" w:eastAsiaTheme="minorHAnsi" w:hAnsi="Arial Nova" w:cstheme="minorBidi"/>
              <w:b/>
              <w:color w:val="auto"/>
              <w:sz w:val="36"/>
              <w:szCs w:val="36"/>
            </w:rPr>
            <w:t>Table of Contents</w:t>
          </w:r>
        </w:p>
        <w:p w:rsidR="005C012E" w:rsidRDefault="005C012E" w:rsidP="00392C21">
          <w:pPr>
            <w:pStyle w:val="TOC1"/>
          </w:pPr>
        </w:p>
        <w:p w:rsidR="005C012E" w:rsidRPr="005C012E" w:rsidRDefault="005C012E" w:rsidP="00392C21">
          <w:pPr>
            <w:pStyle w:val="TOC1"/>
            <w:rPr>
              <w:rFonts w:eastAsiaTheme="minorEastAsia"/>
            </w:rPr>
          </w:pPr>
          <w:r>
            <w:fldChar w:fldCharType="begin"/>
          </w:r>
          <w:r>
            <w:instrText xml:space="preserve"> TOC \o "1-3" \h \z \u </w:instrText>
          </w:r>
          <w:r>
            <w:fldChar w:fldCharType="separate"/>
          </w:r>
          <w:hyperlink w:anchor="_Toc11741519" w:history="1">
            <w:r w:rsidRPr="00392C21">
              <w:rPr>
                <w:rStyle w:val="Hyperlink"/>
              </w:rPr>
              <w:t>Section 1: Introduction</w:t>
            </w:r>
            <w:r w:rsidRPr="005C012E">
              <w:rPr>
                <w:webHidden/>
              </w:rPr>
              <w:tab/>
            </w:r>
            <w:r w:rsidRPr="005C012E">
              <w:rPr>
                <w:webHidden/>
              </w:rPr>
              <w:fldChar w:fldCharType="begin"/>
            </w:r>
            <w:r w:rsidRPr="005C012E">
              <w:rPr>
                <w:webHidden/>
              </w:rPr>
              <w:instrText xml:space="preserve"> PAGEREF _Toc11741519 \h </w:instrText>
            </w:r>
            <w:r w:rsidRPr="005C012E">
              <w:rPr>
                <w:webHidden/>
              </w:rPr>
            </w:r>
            <w:r w:rsidRPr="005C012E">
              <w:rPr>
                <w:webHidden/>
              </w:rPr>
              <w:fldChar w:fldCharType="separate"/>
            </w:r>
            <w:r w:rsidR="00CE320F">
              <w:rPr>
                <w:webHidden/>
              </w:rPr>
              <w:t>3</w:t>
            </w:r>
            <w:r w:rsidRPr="005C012E">
              <w:rPr>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0" w:history="1">
            <w:r w:rsidR="005C012E" w:rsidRPr="005C012E">
              <w:rPr>
                <w:rStyle w:val="Hyperlink"/>
                <w:rFonts w:ascii="Arial Nova" w:hAnsi="Arial Nova"/>
                <w:noProof/>
              </w:rPr>
              <w:t>Evaluation Purpose</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_Toc11741520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3</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1" w:history="1">
            <w:r w:rsidR="005C012E" w:rsidRPr="005C012E">
              <w:rPr>
                <w:rStyle w:val="Hyperlink"/>
                <w:rFonts w:ascii="Arial Nova" w:hAnsi="Arial Nova"/>
                <w:noProof/>
              </w:rPr>
              <w:t>Evaluation Team</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_Toc11741521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3</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2" w:history="1">
            <w:r w:rsidR="005C012E" w:rsidRPr="005C012E">
              <w:rPr>
                <w:rStyle w:val="Hyperlink"/>
                <w:rFonts w:ascii="Arial Nova" w:hAnsi="Arial Nova"/>
                <w:noProof/>
              </w:rPr>
              <w:t>Stakeholder Engagement</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_Toc11741522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3</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3" w:history="1">
            <w:r w:rsidR="005C012E" w:rsidRPr="005C012E">
              <w:rPr>
                <w:rStyle w:val="Hyperlink"/>
                <w:rFonts w:ascii="Arial Nova" w:hAnsi="Arial Nova"/>
                <w:noProof/>
              </w:rPr>
              <w:t>Intended Use and Users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_Toc11741523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4</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4" w:history="1">
            <w:r w:rsidR="005C012E" w:rsidRPr="005C012E">
              <w:rPr>
                <w:rStyle w:val="Hyperlink"/>
                <w:rFonts w:ascii="Arial Nova" w:hAnsi="Arial Nova"/>
                <w:noProof/>
              </w:rPr>
              <w:t>Evaluation Resources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_Toc11741524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4</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5" w:history="1">
            <w:r w:rsidR="005C012E" w:rsidRPr="005C012E">
              <w:rPr>
                <w:rStyle w:val="Hyperlink"/>
                <w:rFonts w:ascii="Arial Nova" w:hAnsi="Arial Nova"/>
                <w:noProof/>
              </w:rPr>
              <w:t>Evaluation Budget</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_Toc11741525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5</w:t>
            </w:r>
            <w:r w:rsidR="005C012E" w:rsidRPr="005C012E">
              <w:rPr>
                <w:rFonts w:ascii="Arial Nova" w:hAnsi="Arial Nova"/>
                <w:noProof/>
                <w:webHidden/>
              </w:rPr>
              <w:fldChar w:fldCharType="end"/>
            </w:r>
          </w:hyperlink>
        </w:p>
        <w:p w:rsidR="005C012E" w:rsidRPr="00392C21" w:rsidRDefault="004B3D69" w:rsidP="00392C21">
          <w:pPr>
            <w:pStyle w:val="TOC1"/>
            <w:rPr>
              <w:rFonts w:eastAsiaTheme="minorEastAsia"/>
            </w:rPr>
          </w:pPr>
          <w:hyperlink w:anchor="_Toc11741526" w:history="1">
            <w:r w:rsidR="005C012E" w:rsidRPr="00392C21">
              <w:rPr>
                <w:rStyle w:val="Hyperlink"/>
              </w:rPr>
              <w:t>Section 2: Description of the LOHP</w:t>
            </w:r>
            <w:r w:rsidR="005C012E" w:rsidRPr="00392C21">
              <w:rPr>
                <w:webHidden/>
              </w:rPr>
              <w:tab/>
            </w:r>
            <w:r w:rsidR="005C012E" w:rsidRPr="00392C21">
              <w:rPr>
                <w:webHidden/>
              </w:rPr>
              <w:fldChar w:fldCharType="begin"/>
            </w:r>
            <w:r w:rsidR="005C012E" w:rsidRPr="00392C21">
              <w:rPr>
                <w:webHidden/>
              </w:rPr>
              <w:instrText xml:space="preserve"> PAGEREF _Toc11741526 \h </w:instrText>
            </w:r>
            <w:r w:rsidR="005C012E" w:rsidRPr="00392C21">
              <w:rPr>
                <w:webHidden/>
              </w:rPr>
            </w:r>
            <w:r w:rsidR="005C012E" w:rsidRPr="00392C21">
              <w:rPr>
                <w:webHidden/>
              </w:rPr>
              <w:fldChar w:fldCharType="separate"/>
            </w:r>
            <w:r w:rsidR="00CE320F">
              <w:rPr>
                <w:webHidden/>
              </w:rPr>
              <w:t>5</w:t>
            </w:r>
            <w:r w:rsidR="005C012E" w:rsidRPr="00392C21">
              <w:rPr>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7" w:history="1">
            <w:r w:rsidR="005C012E" w:rsidRPr="005C012E">
              <w:rPr>
                <w:rStyle w:val="Hyperlink"/>
                <w:rFonts w:ascii="Arial Nova" w:hAnsi="Arial Nova"/>
                <w:noProof/>
              </w:rPr>
              <w:t>Program Overview</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_Toc11741527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5</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8" w:history="1">
            <w:r w:rsidR="005C012E" w:rsidRPr="005C012E">
              <w:rPr>
                <w:rStyle w:val="Hyperlink"/>
                <w:rFonts w:ascii="Arial Nova" w:hAnsi="Arial Nova"/>
                <w:noProof/>
              </w:rPr>
              <w:t>Program Need</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_Toc11741528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7</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29" w:history="1">
            <w:r w:rsidR="005C012E" w:rsidRPr="005C012E">
              <w:rPr>
                <w:rStyle w:val="Hyperlink"/>
                <w:rFonts w:ascii="Arial Nova" w:hAnsi="Arial Nova"/>
                <w:noProof/>
              </w:rPr>
              <w:t>Context</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_Toc11741529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7</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30" w:history="1">
            <w:r w:rsidR="005C012E" w:rsidRPr="005C012E">
              <w:rPr>
                <w:rStyle w:val="Hyperlink"/>
                <w:rFonts w:ascii="Arial Nova" w:hAnsi="Arial Nova"/>
                <w:noProof/>
              </w:rPr>
              <w:t>Target Population of the LOHP</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_Toc11741530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7</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31" w:history="1">
            <w:r w:rsidR="005C012E" w:rsidRPr="005C012E">
              <w:rPr>
                <w:rStyle w:val="Hyperlink"/>
                <w:rFonts w:ascii="Arial Nova" w:hAnsi="Arial Nova"/>
                <w:noProof/>
              </w:rPr>
              <w:t>Stage of Program Development</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_Toc11741531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9</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32" w:history="1">
            <w:r w:rsidR="005C012E" w:rsidRPr="005C012E">
              <w:rPr>
                <w:rStyle w:val="Hyperlink"/>
                <w:rFonts w:ascii="Arial Nova" w:hAnsi="Arial Nova"/>
                <w:noProof/>
              </w:rPr>
              <w:t>Logic Model</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_Toc11741532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9</w:t>
            </w:r>
            <w:r w:rsidR="005C012E" w:rsidRPr="005C012E">
              <w:rPr>
                <w:rFonts w:ascii="Arial Nova" w:hAnsi="Arial Nova"/>
                <w:noProof/>
                <w:webHidden/>
              </w:rPr>
              <w:fldChar w:fldCharType="end"/>
            </w:r>
          </w:hyperlink>
        </w:p>
        <w:p w:rsidR="005C012E" w:rsidRPr="005C012E" w:rsidRDefault="004B3D69" w:rsidP="00392C21">
          <w:pPr>
            <w:pStyle w:val="TOC1"/>
            <w:rPr>
              <w:rFonts w:eastAsiaTheme="minorEastAsia"/>
            </w:rPr>
          </w:pPr>
          <w:hyperlink w:anchor="_Toc11741534" w:history="1">
            <w:r w:rsidR="005C012E" w:rsidRPr="005C012E">
              <w:rPr>
                <w:rStyle w:val="Hyperlink"/>
              </w:rPr>
              <w:t>Section 3: Focus of the Evaluation</w:t>
            </w:r>
            <w:r w:rsidR="005C012E" w:rsidRPr="005C012E">
              <w:rPr>
                <w:webHidden/>
              </w:rPr>
              <w:tab/>
            </w:r>
            <w:r w:rsidR="005C012E" w:rsidRPr="005C012E">
              <w:rPr>
                <w:webHidden/>
              </w:rPr>
              <w:fldChar w:fldCharType="begin"/>
            </w:r>
            <w:r w:rsidR="005C012E" w:rsidRPr="005C012E">
              <w:rPr>
                <w:webHidden/>
              </w:rPr>
              <w:instrText xml:space="preserve"> PAGEREF _Toc11741534 \h </w:instrText>
            </w:r>
            <w:r w:rsidR="005C012E" w:rsidRPr="005C012E">
              <w:rPr>
                <w:webHidden/>
              </w:rPr>
            </w:r>
            <w:r w:rsidR="005C012E" w:rsidRPr="005C012E">
              <w:rPr>
                <w:webHidden/>
              </w:rPr>
              <w:fldChar w:fldCharType="separate"/>
            </w:r>
            <w:r w:rsidR="00CE320F">
              <w:rPr>
                <w:webHidden/>
              </w:rPr>
              <w:t>11</w:t>
            </w:r>
            <w:r w:rsidR="005C012E" w:rsidRPr="005C012E">
              <w:rPr>
                <w:webHidden/>
              </w:rPr>
              <w:fldChar w:fldCharType="end"/>
            </w:r>
          </w:hyperlink>
        </w:p>
        <w:p w:rsidR="005C012E" w:rsidRPr="005C012E" w:rsidRDefault="004B3D69">
          <w:pPr>
            <w:pStyle w:val="TOC2"/>
            <w:tabs>
              <w:tab w:val="right" w:leader="dot" w:pos="9350"/>
            </w:tabs>
            <w:rPr>
              <w:rFonts w:ascii="Arial Nova" w:hAnsi="Arial Nova"/>
              <w:noProof/>
            </w:rPr>
          </w:pPr>
          <w:hyperlink w:anchor="_Toc11741535" w:history="1">
            <w:r w:rsidR="005C012E" w:rsidRPr="005C012E">
              <w:rPr>
                <w:rStyle w:val="Hyperlink"/>
                <w:rFonts w:ascii="Arial Nova" w:hAnsi="Arial Nova"/>
                <w:noProof/>
              </w:rPr>
              <w:t>Stakeholder Needs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_Toc11741535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11</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36" w:history="1">
            <w:r w:rsidR="005C012E" w:rsidRPr="005C012E">
              <w:rPr>
                <w:rStyle w:val="Hyperlink"/>
                <w:rFonts w:ascii="Arial Nova" w:hAnsi="Arial Nova"/>
                <w:noProof/>
              </w:rPr>
              <w:t>Evaluation Questions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_Toc11741536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11</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37" w:history="1">
            <w:r w:rsidR="005C012E" w:rsidRPr="005C012E">
              <w:rPr>
                <w:rStyle w:val="Hyperlink"/>
                <w:rFonts w:ascii="Arial Nova" w:hAnsi="Arial Nova"/>
                <w:noProof/>
              </w:rPr>
              <w:t>Evaluation Methods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_Toc11741537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12</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38" w:history="1">
            <w:r w:rsidR="005C012E" w:rsidRPr="005C012E">
              <w:rPr>
                <w:rStyle w:val="Hyperlink"/>
                <w:rFonts w:ascii="Arial Nova" w:hAnsi="Arial Nova"/>
                <w:noProof/>
              </w:rPr>
              <w:t>Evaluation Standards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_Toc11741538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12</w:t>
            </w:r>
            <w:r w:rsidR="005C012E" w:rsidRPr="005C012E">
              <w:rPr>
                <w:rFonts w:ascii="Arial Nova" w:hAnsi="Arial Nova"/>
                <w:noProof/>
                <w:webHidden/>
              </w:rPr>
              <w:fldChar w:fldCharType="end"/>
            </w:r>
          </w:hyperlink>
        </w:p>
        <w:p w:rsidR="005C012E" w:rsidRPr="005C012E" w:rsidRDefault="004B3D69" w:rsidP="00392C21">
          <w:pPr>
            <w:pStyle w:val="TOC1"/>
            <w:rPr>
              <w:rFonts w:eastAsiaTheme="minorEastAsia"/>
            </w:rPr>
          </w:pPr>
          <w:hyperlink w:anchor="_Toc11741539" w:history="1">
            <w:r w:rsidR="005C012E" w:rsidRPr="005C012E">
              <w:rPr>
                <w:rStyle w:val="Hyperlink"/>
              </w:rPr>
              <w:t>Section 4: Gathering Credible Evidence</w:t>
            </w:r>
            <w:r w:rsidR="005C012E" w:rsidRPr="005C012E">
              <w:rPr>
                <w:webHidden/>
              </w:rPr>
              <w:tab/>
            </w:r>
            <w:r w:rsidR="005C012E" w:rsidRPr="005C012E">
              <w:rPr>
                <w:webHidden/>
              </w:rPr>
              <w:fldChar w:fldCharType="begin"/>
            </w:r>
            <w:r w:rsidR="005C012E" w:rsidRPr="005C012E">
              <w:rPr>
                <w:webHidden/>
              </w:rPr>
              <w:instrText xml:space="preserve"> PAGEREF _Toc11741539 \h </w:instrText>
            </w:r>
            <w:r w:rsidR="005C012E" w:rsidRPr="005C012E">
              <w:rPr>
                <w:webHidden/>
              </w:rPr>
            </w:r>
            <w:r w:rsidR="005C012E" w:rsidRPr="005C012E">
              <w:rPr>
                <w:webHidden/>
              </w:rPr>
              <w:fldChar w:fldCharType="separate"/>
            </w:r>
            <w:r w:rsidR="00CE320F">
              <w:rPr>
                <w:webHidden/>
              </w:rPr>
              <w:t>12</w:t>
            </w:r>
            <w:r w:rsidR="005C012E" w:rsidRPr="005C012E">
              <w:rPr>
                <w:webHidden/>
              </w:rPr>
              <w:fldChar w:fldCharType="end"/>
            </w:r>
          </w:hyperlink>
        </w:p>
        <w:p w:rsidR="005C012E" w:rsidRPr="005C012E" w:rsidRDefault="004B3D69">
          <w:pPr>
            <w:pStyle w:val="TOC2"/>
            <w:tabs>
              <w:tab w:val="right" w:leader="dot" w:pos="9350"/>
            </w:tabs>
            <w:rPr>
              <w:rFonts w:ascii="Arial Nova" w:hAnsi="Arial Nova"/>
              <w:noProof/>
            </w:rPr>
          </w:pPr>
          <w:hyperlink w:anchor="_Toc11741540" w:history="1">
            <w:r w:rsidR="005C012E" w:rsidRPr="005C012E">
              <w:rPr>
                <w:rStyle w:val="Hyperlink"/>
                <w:rFonts w:ascii="Arial Nova" w:hAnsi="Arial Nova"/>
                <w:noProof/>
              </w:rPr>
              <w:t>Indicators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_Toc11741540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12</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41" w:history="1">
            <w:r w:rsidR="005C012E" w:rsidRPr="005C012E">
              <w:rPr>
                <w:rStyle w:val="Hyperlink"/>
                <w:rFonts w:ascii="Arial Nova" w:hAnsi="Arial Nova"/>
                <w:noProof/>
              </w:rPr>
              <w:t>Data Collection</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_Toc11741541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14</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43" w:history="1">
            <w:r w:rsidR="005C012E" w:rsidRPr="005C012E">
              <w:rPr>
                <w:rStyle w:val="Hyperlink"/>
                <w:rFonts w:ascii="Arial Nova" w:hAnsi="Arial Nova"/>
                <w:noProof/>
              </w:rPr>
              <w:t>Evaluation Plan Grid</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_Toc11741543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14</w:t>
            </w:r>
            <w:r w:rsidR="005C012E" w:rsidRPr="005C012E">
              <w:rPr>
                <w:rFonts w:ascii="Arial Nova" w:hAnsi="Arial Nova"/>
                <w:noProof/>
                <w:webHidden/>
              </w:rPr>
              <w:fldChar w:fldCharType="end"/>
            </w:r>
          </w:hyperlink>
        </w:p>
        <w:p w:rsidR="005C012E" w:rsidRPr="005C012E" w:rsidRDefault="004B3D69">
          <w:pPr>
            <w:pStyle w:val="TOC2"/>
            <w:tabs>
              <w:tab w:val="right" w:leader="dot" w:pos="9350"/>
            </w:tabs>
            <w:rPr>
              <w:rFonts w:ascii="Arial Nova" w:hAnsi="Arial Nova"/>
              <w:noProof/>
            </w:rPr>
          </w:pPr>
          <w:hyperlink w:anchor="_Toc11741544" w:history="1">
            <w:r w:rsidR="005C012E" w:rsidRPr="005C012E">
              <w:rPr>
                <w:rStyle w:val="Hyperlink"/>
                <w:rFonts w:ascii="Arial Nova" w:hAnsi="Arial Nova"/>
                <w:noProof/>
              </w:rPr>
              <w:t>Timeline of Evaluation Activities</w:t>
            </w:r>
            <w:r w:rsidR="005C012E" w:rsidRPr="005C012E">
              <w:rPr>
                <w:rFonts w:ascii="Arial Nova" w:hAnsi="Arial Nova"/>
                <w:noProof/>
                <w:webHidden/>
              </w:rPr>
              <w:tab/>
            </w:r>
            <w:r w:rsidR="005C012E" w:rsidRPr="005C012E">
              <w:rPr>
                <w:rFonts w:ascii="Arial Nova" w:hAnsi="Arial Nova"/>
                <w:noProof/>
                <w:webHidden/>
              </w:rPr>
              <w:fldChar w:fldCharType="begin"/>
            </w:r>
            <w:r w:rsidR="005C012E" w:rsidRPr="005C012E">
              <w:rPr>
                <w:rFonts w:ascii="Arial Nova" w:hAnsi="Arial Nova"/>
                <w:noProof/>
                <w:webHidden/>
              </w:rPr>
              <w:instrText xml:space="preserve"> PAGEREF _Toc11741544 \h </w:instrText>
            </w:r>
            <w:r w:rsidR="005C012E" w:rsidRPr="005C012E">
              <w:rPr>
                <w:rFonts w:ascii="Arial Nova" w:hAnsi="Arial Nova"/>
                <w:noProof/>
                <w:webHidden/>
              </w:rPr>
            </w:r>
            <w:r w:rsidR="005C012E" w:rsidRPr="005C012E">
              <w:rPr>
                <w:rFonts w:ascii="Arial Nova" w:hAnsi="Arial Nova"/>
                <w:noProof/>
                <w:webHidden/>
              </w:rPr>
              <w:fldChar w:fldCharType="separate"/>
            </w:r>
            <w:r w:rsidR="00CE320F">
              <w:rPr>
                <w:rFonts w:ascii="Arial Nova" w:hAnsi="Arial Nova"/>
                <w:noProof/>
                <w:webHidden/>
              </w:rPr>
              <w:t>18</w:t>
            </w:r>
            <w:r w:rsidR="005C012E" w:rsidRPr="005C012E">
              <w:rPr>
                <w:rFonts w:ascii="Arial Nova" w:hAnsi="Arial Nova"/>
                <w:noProof/>
                <w:webHidden/>
              </w:rPr>
              <w:fldChar w:fldCharType="end"/>
            </w:r>
          </w:hyperlink>
        </w:p>
        <w:p w:rsidR="005C012E" w:rsidRPr="005C012E" w:rsidRDefault="004B3D69" w:rsidP="00392C21">
          <w:pPr>
            <w:pStyle w:val="TOC1"/>
            <w:rPr>
              <w:rFonts w:eastAsiaTheme="minorEastAsia"/>
            </w:rPr>
          </w:pPr>
          <w:hyperlink w:anchor="_Toc11741545" w:history="1">
            <w:r w:rsidR="005C012E" w:rsidRPr="005C012E">
              <w:rPr>
                <w:rStyle w:val="Hyperlink"/>
              </w:rPr>
              <w:t>Section 5: Analysis and Interpretation</w:t>
            </w:r>
            <w:r w:rsidR="005C012E" w:rsidRPr="005C012E">
              <w:rPr>
                <w:webHidden/>
              </w:rPr>
              <w:tab/>
            </w:r>
            <w:r w:rsidR="005C012E" w:rsidRPr="005C012E">
              <w:rPr>
                <w:webHidden/>
              </w:rPr>
              <w:fldChar w:fldCharType="begin"/>
            </w:r>
            <w:r w:rsidR="005C012E" w:rsidRPr="005C012E">
              <w:rPr>
                <w:webHidden/>
              </w:rPr>
              <w:instrText xml:space="preserve"> PAGEREF _Toc11741545 \h </w:instrText>
            </w:r>
            <w:r w:rsidR="005C012E" w:rsidRPr="005C012E">
              <w:rPr>
                <w:webHidden/>
              </w:rPr>
            </w:r>
            <w:r w:rsidR="005C012E" w:rsidRPr="005C012E">
              <w:rPr>
                <w:webHidden/>
              </w:rPr>
              <w:fldChar w:fldCharType="separate"/>
            </w:r>
            <w:r w:rsidR="00CE320F">
              <w:rPr>
                <w:webHidden/>
              </w:rPr>
              <w:t>18</w:t>
            </w:r>
            <w:r w:rsidR="005C012E" w:rsidRPr="005C012E">
              <w:rPr>
                <w:webHidden/>
              </w:rPr>
              <w:fldChar w:fldCharType="end"/>
            </w:r>
          </w:hyperlink>
        </w:p>
        <w:p w:rsidR="005C012E" w:rsidRPr="005C012E" w:rsidRDefault="004B3D69" w:rsidP="00392C21">
          <w:pPr>
            <w:pStyle w:val="TOC1"/>
            <w:rPr>
              <w:rFonts w:eastAsiaTheme="minorEastAsia"/>
            </w:rPr>
          </w:pPr>
          <w:hyperlink w:anchor="_Toc11741546" w:history="1">
            <w:r w:rsidR="005C012E" w:rsidRPr="005C012E">
              <w:rPr>
                <w:rStyle w:val="Hyperlink"/>
              </w:rPr>
              <w:t>Section 6: Reporting and Dissemination</w:t>
            </w:r>
            <w:r w:rsidR="005C012E" w:rsidRPr="005C012E">
              <w:rPr>
                <w:webHidden/>
              </w:rPr>
              <w:tab/>
            </w:r>
            <w:r w:rsidR="005C012E" w:rsidRPr="005C012E">
              <w:rPr>
                <w:webHidden/>
              </w:rPr>
              <w:fldChar w:fldCharType="begin"/>
            </w:r>
            <w:r w:rsidR="005C012E" w:rsidRPr="005C012E">
              <w:rPr>
                <w:webHidden/>
              </w:rPr>
              <w:instrText xml:space="preserve"> PAGEREF _Toc11741546 \h </w:instrText>
            </w:r>
            <w:r w:rsidR="005C012E" w:rsidRPr="005C012E">
              <w:rPr>
                <w:webHidden/>
              </w:rPr>
            </w:r>
            <w:r w:rsidR="005C012E" w:rsidRPr="005C012E">
              <w:rPr>
                <w:webHidden/>
              </w:rPr>
              <w:fldChar w:fldCharType="separate"/>
            </w:r>
            <w:r w:rsidR="00CE320F">
              <w:rPr>
                <w:webHidden/>
              </w:rPr>
              <w:t>18</w:t>
            </w:r>
            <w:r w:rsidR="005C012E" w:rsidRPr="005C012E">
              <w:rPr>
                <w:webHidden/>
              </w:rPr>
              <w:fldChar w:fldCharType="end"/>
            </w:r>
          </w:hyperlink>
        </w:p>
        <w:p w:rsidR="005C012E" w:rsidRDefault="004B3D69" w:rsidP="00392C21">
          <w:pPr>
            <w:pStyle w:val="TOC1"/>
            <w:rPr>
              <w:rFonts w:eastAsiaTheme="minorEastAsia"/>
            </w:rPr>
          </w:pPr>
          <w:hyperlink w:anchor="_Toc11741548" w:history="1">
            <w:r w:rsidR="005C012E" w:rsidRPr="005C012E">
              <w:rPr>
                <w:rStyle w:val="Hyperlink"/>
              </w:rPr>
              <w:t>Attachments</w:t>
            </w:r>
            <w:r w:rsidR="005C012E" w:rsidRPr="005C012E">
              <w:rPr>
                <w:webHidden/>
              </w:rPr>
              <w:tab/>
            </w:r>
            <w:r w:rsidR="005C012E" w:rsidRPr="005C012E">
              <w:rPr>
                <w:webHidden/>
              </w:rPr>
              <w:fldChar w:fldCharType="begin"/>
            </w:r>
            <w:r w:rsidR="005C012E" w:rsidRPr="005C012E">
              <w:rPr>
                <w:webHidden/>
              </w:rPr>
              <w:instrText xml:space="preserve"> PAGEREF _Toc11741548 \h </w:instrText>
            </w:r>
            <w:r w:rsidR="005C012E" w:rsidRPr="005C012E">
              <w:rPr>
                <w:webHidden/>
              </w:rPr>
            </w:r>
            <w:r w:rsidR="005C012E" w:rsidRPr="005C012E">
              <w:rPr>
                <w:webHidden/>
              </w:rPr>
              <w:fldChar w:fldCharType="separate"/>
            </w:r>
            <w:r w:rsidR="00CE320F">
              <w:rPr>
                <w:webHidden/>
              </w:rPr>
              <w:t>18</w:t>
            </w:r>
            <w:r w:rsidR="005C012E" w:rsidRPr="005C012E">
              <w:rPr>
                <w:webHidden/>
              </w:rPr>
              <w:fldChar w:fldCharType="end"/>
            </w:r>
          </w:hyperlink>
        </w:p>
        <w:p w:rsidR="005C012E" w:rsidRDefault="005C012E">
          <w:r>
            <w:rPr>
              <w:b/>
              <w:bCs/>
              <w:noProof/>
            </w:rPr>
            <w:fldChar w:fldCharType="end"/>
          </w:r>
        </w:p>
      </w:sdtContent>
    </w:sdt>
    <w:p w:rsidR="008E0CC4" w:rsidRDefault="008E0CC4" w:rsidP="00D209C5">
      <w:pPr>
        <w:pStyle w:val="Text"/>
        <w:rPr>
          <w:b/>
          <w:bCs/>
        </w:rPr>
      </w:pPr>
    </w:p>
    <w:p w:rsidR="008E0CC4" w:rsidRDefault="008E0CC4">
      <w:pPr>
        <w:rPr>
          <w:rFonts w:ascii="Arial Nova" w:hAnsi="Arial Nova"/>
          <w:sz w:val="24"/>
          <w:szCs w:val="24"/>
        </w:rPr>
      </w:pPr>
    </w:p>
    <w:p w:rsidR="008E0CC4" w:rsidRDefault="008E0CC4">
      <w:pPr>
        <w:rPr>
          <w:rFonts w:ascii="Arial Nova" w:hAnsi="Arial Nova"/>
          <w:sz w:val="24"/>
          <w:szCs w:val="24"/>
        </w:rPr>
      </w:pPr>
    </w:p>
    <w:p w:rsidR="008E0CC4" w:rsidRDefault="008E0CC4">
      <w:pPr>
        <w:rPr>
          <w:rFonts w:ascii="Arial Nova" w:hAnsi="Arial Nova"/>
          <w:sz w:val="24"/>
          <w:szCs w:val="24"/>
        </w:rPr>
      </w:pPr>
    </w:p>
    <w:p w:rsidR="005E7748" w:rsidRPr="005C012E" w:rsidRDefault="005E7748" w:rsidP="005C012E">
      <w:pPr>
        <w:pStyle w:val="Heading1"/>
      </w:pPr>
      <w:bookmarkStart w:id="0" w:name="_Toc11741519"/>
      <w:r w:rsidRPr="005C012E">
        <w:t>Section 1: Introduction</w:t>
      </w:r>
      <w:bookmarkEnd w:id="0"/>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5E7748" w:rsidTr="00250F2A">
        <w:trPr>
          <w:trHeight w:hRule="exact" w:val="72"/>
        </w:trPr>
        <w:tc>
          <w:tcPr>
            <w:tcW w:w="9350" w:type="dxa"/>
          </w:tcPr>
          <w:p w:rsidR="005E7748" w:rsidRDefault="005E7748" w:rsidP="00250F2A">
            <w:pPr>
              <w:rPr>
                <w:rFonts w:ascii="Arial Nova" w:hAnsi="Arial Nova"/>
                <w:sz w:val="32"/>
                <w:szCs w:val="32"/>
              </w:rPr>
            </w:pPr>
          </w:p>
        </w:tc>
      </w:tr>
    </w:tbl>
    <w:p w:rsidR="007D2081" w:rsidRPr="005C012E" w:rsidRDefault="007D2081" w:rsidP="0076542A">
      <w:pPr>
        <w:pStyle w:val="Heading2"/>
      </w:pPr>
      <w:bookmarkStart w:id="1" w:name="_Toc11741520"/>
      <w:r w:rsidRPr="005C012E">
        <w:t xml:space="preserve">Evaluation </w:t>
      </w:r>
      <w:r w:rsidR="00E26065" w:rsidRPr="005C012E">
        <w:t>P</w:t>
      </w:r>
      <w:r w:rsidRPr="005C012E">
        <w:t>urpose</w:t>
      </w:r>
      <w:bookmarkEnd w:id="1"/>
    </w:p>
    <w:p w:rsidR="009011F3" w:rsidRDefault="00D22F47" w:rsidP="00815EBF">
      <w:pPr>
        <w:pStyle w:val="Text"/>
      </w:pPr>
      <w:r>
        <w:t xml:space="preserve">First 5 Kings County was awarded a grant </w:t>
      </w:r>
      <w:r w:rsidR="009839FD">
        <w:t xml:space="preserve">in 2018 </w:t>
      </w:r>
      <w:r>
        <w:t xml:space="preserve">from the California </w:t>
      </w:r>
      <w:r w:rsidR="00E00462">
        <w:t xml:space="preserve">Department of </w:t>
      </w:r>
      <w:r>
        <w:t xml:space="preserve">Public Health to plan and implement a Local Oral Health Program (LOHP) </w:t>
      </w:r>
      <w:r w:rsidR="00842420">
        <w:t>supporting</w:t>
      </w:r>
      <w:r w:rsidR="001650E7">
        <w:t xml:space="preserve"> </w:t>
      </w:r>
      <w:r w:rsidR="00EF47A3" w:rsidRPr="00EF47A3">
        <w:t xml:space="preserve">disease prevention, </w:t>
      </w:r>
      <w:r w:rsidR="001650E7">
        <w:t xml:space="preserve">education, </w:t>
      </w:r>
      <w:r w:rsidR="00EF47A3" w:rsidRPr="00EF47A3">
        <w:t>linkage</w:t>
      </w:r>
      <w:r w:rsidR="001650E7">
        <w:t>s</w:t>
      </w:r>
      <w:r w:rsidR="00EF47A3" w:rsidRPr="00EF47A3">
        <w:t xml:space="preserve"> to treatment, </w:t>
      </w:r>
      <w:r w:rsidR="001650E7">
        <w:t xml:space="preserve">and </w:t>
      </w:r>
      <w:r w:rsidR="00EF47A3" w:rsidRPr="00EF47A3">
        <w:t xml:space="preserve">case management and </w:t>
      </w:r>
      <w:r w:rsidR="00F949F6">
        <w:t xml:space="preserve">oral health </w:t>
      </w:r>
      <w:r w:rsidR="00EF47A3" w:rsidRPr="00EF47A3">
        <w:t>surveillance</w:t>
      </w:r>
      <w:r w:rsidR="001650E7">
        <w:t xml:space="preserve"> activities</w:t>
      </w:r>
      <w:r w:rsidR="00EF47A3" w:rsidRPr="00EF47A3">
        <w:t xml:space="preserve">. </w:t>
      </w:r>
      <w:r w:rsidR="001650E7">
        <w:t xml:space="preserve">First 5 Kings County contracted with </w:t>
      </w:r>
      <w:proofErr w:type="spellStart"/>
      <w:r w:rsidR="001650E7">
        <w:t>Diringer</w:t>
      </w:r>
      <w:proofErr w:type="spellEnd"/>
      <w:r w:rsidR="001650E7">
        <w:t xml:space="preserve"> and Associates, a Central California health policy consulting firm, to </w:t>
      </w:r>
      <w:r w:rsidR="00B01E20">
        <w:t xml:space="preserve">help </w:t>
      </w:r>
      <w:r w:rsidR="00842420">
        <w:t xml:space="preserve">convene </w:t>
      </w:r>
      <w:r w:rsidR="00B01E20">
        <w:t xml:space="preserve">a local oral health coalition, to </w:t>
      </w:r>
      <w:r w:rsidR="00815EBF">
        <w:t>lead</w:t>
      </w:r>
      <w:r w:rsidR="001650E7">
        <w:t xml:space="preserve"> </w:t>
      </w:r>
      <w:r w:rsidR="00842420">
        <w:t>a</w:t>
      </w:r>
      <w:r w:rsidR="001650E7">
        <w:t xml:space="preserve"> countywide needs assessment and </w:t>
      </w:r>
      <w:r w:rsidR="00B11F99">
        <w:t>strategic plan</w:t>
      </w:r>
      <w:r w:rsidR="00815EBF">
        <w:t>ning process</w:t>
      </w:r>
      <w:r w:rsidR="00B01E20">
        <w:t xml:space="preserve">, and to </w:t>
      </w:r>
      <w:r w:rsidR="00CF76DA">
        <w:t>guide development</w:t>
      </w:r>
      <w:r w:rsidR="00815EBF">
        <w:t xml:space="preserve"> </w:t>
      </w:r>
      <w:r w:rsidR="004F0C5D">
        <w:t xml:space="preserve">of </w:t>
      </w:r>
      <w:r w:rsidR="00815EBF">
        <w:t xml:space="preserve">a </w:t>
      </w:r>
      <w:r w:rsidR="009011F3">
        <w:t>comprehensive</w:t>
      </w:r>
      <w:r w:rsidR="00815EBF">
        <w:t xml:space="preserve"> </w:t>
      </w:r>
      <w:r w:rsidR="00CF76DA">
        <w:t xml:space="preserve">LOHP </w:t>
      </w:r>
      <w:r w:rsidR="00815EBF">
        <w:t>work plan</w:t>
      </w:r>
      <w:r w:rsidR="004F0C5D">
        <w:t xml:space="preserve">. </w:t>
      </w:r>
      <w:r w:rsidR="00B11F99">
        <w:t xml:space="preserve">The </w:t>
      </w:r>
      <w:r w:rsidR="00815EBF">
        <w:t xml:space="preserve">work </w:t>
      </w:r>
      <w:r w:rsidR="00B11F99">
        <w:t>plan</w:t>
      </w:r>
      <w:r w:rsidR="004F0C5D">
        <w:t xml:space="preserve">, which will be implemented over a five-year period, </w:t>
      </w:r>
      <w:r w:rsidR="00CF76DA">
        <w:t xml:space="preserve">was completed in June </w:t>
      </w:r>
      <w:r w:rsidR="004F0C5D">
        <w:t xml:space="preserve">of </w:t>
      </w:r>
      <w:r w:rsidR="00CF76DA">
        <w:t>2019</w:t>
      </w:r>
      <w:r w:rsidR="004F0C5D">
        <w:t xml:space="preserve"> and </w:t>
      </w:r>
      <w:r w:rsidR="00842420">
        <w:t xml:space="preserve">will be </w:t>
      </w:r>
      <w:r w:rsidR="004F0C5D">
        <w:t>submitted to the state for review and approval. The plan focuses</w:t>
      </w:r>
      <w:r w:rsidR="00B11F99">
        <w:t xml:space="preserve"> on building capacity and </w:t>
      </w:r>
      <w:r w:rsidR="00CF76DA">
        <w:t xml:space="preserve">local </w:t>
      </w:r>
      <w:r w:rsidR="00B11F99">
        <w:t xml:space="preserve">infrastructure </w:t>
      </w:r>
      <w:r w:rsidR="00815EBF">
        <w:t>to support</w:t>
      </w:r>
      <w:r w:rsidR="00B11F99">
        <w:t xml:space="preserve"> the development and implementation of evidence-based programs in oral disease prevention.</w:t>
      </w:r>
      <w:r w:rsidR="00815EBF">
        <w:t xml:space="preserve"> </w:t>
      </w:r>
      <w:r w:rsidR="009011F3">
        <w:t xml:space="preserve">Prevention program components </w:t>
      </w:r>
      <w:r w:rsidR="00235BB8">
        <w:t xml:space="preserve">will </w:t>
      </w:r>
      <w:r w:rsidR="009011F3">
        <w:t>includ</w:t>
      </w:r>
      <w:r w:rsidR="00235BB8">
        <w:t>e</w:t>
      </w:r>
      <w:r w:rsidR="003757DC">
        <w:t xml:space="preserve"> </w:t>
      </w:r>
      <w:r w:rsidR="00235BB8">
        <w:t>oral health awareness</w:t>
      </w:r>
      <w:r w:rsidR="006E6E2C">
        <w:t xml:space="preserve"> and public education</w:t>
      </w:r>
      <w:r w:rsidR="00235BB8">
        <w:t xml:space="preserve"> campaigns, preschool </w:t>
      </w:r>
      <w:r w:rsidR="009011F3">
        <w:t xml:space="preserve">toothbrushing programs, </w:t>
      </w:r>
      <w:r w:rsidR="00235BB8">
        <w:t xml:space="preserve">school-based fluoride </w:t>
      </w:r>
      <w:r w:rsidR="009011F3">
        <w:t xml:space="preserve">varnish </w:t>
      </w:r>
      <w:r w:rsidR="00235BB8">
        <w:t>and dental sealant programs</w:t>
      </w:r>
      <w:r w:rsidR="009011F3">
        <w:t xml:space="preserve">, medical and dental provider outreach and education, and oral health screening events </w:t>
      </w:r>
      <w:r w:rsidR="006E6E2C">
        <w:t>with</w:t>
      </w:r>
      <w:r w:rsidR="009011F3">
        <w:t xml:space="preserve"> linkages to treatment. </w:t>
      </w:r>
    </w:p>
    <w:p w:rsidR="00815EBF" w:rsidRPr="008F4EB6" w:rsidRDefault="00815EBF" w:rsidP="00815EBF">
      <w:pPr>
        <w:pStyle w:val="Text"/>
      </w:pPr>
      <w:r>
        <w:t xml:space="preserve">As a requirement of the </w:t>
      </w:r>
      <w:r w:rsidR="00CF76DA">
        <w:t xml:space="preserve">oral health </w:t>
      </w:r>
      <w:r>
        <w:t>grant</w:t>
      </w:r>
      <w:r w:rsidR="00CF76DA">
        <w:t>,</w:t>
      </w:r>
      <w:r>
        <w:t xml:space="preserve"> local health jurisdictions must develop an evaluation plan to determine the effectiveness and impact of </w:t>
      </w:r>
      <w:r w:rsidR="00CF76DA">
        <w:t xml:space="preserve">proposed </w:t>
      </w:r>
      <w:r>
        <w:t xml:space="preserve">strategies and activities </w:t>
      </w:r>
      <w:r w:rsidR="00CF76DA">
        <w:t>outlined in the</w:t>
      </w:r>
      <w:r>
        <w:t xml:space="preserve"> </w:t>
      </w:r>
      <w:r w:rsidR="00CF76DA">
        <w:t xml:space="preserve">five-year </w:t>
      </w:r>
      <w:r>
        <w:t xml:space="preserve">plan. The evaluation plan </w:t>
      </w:r>
      <w:r w:rsidR="003757DC">
        <w:t>has been</w:t>
      </w:r>
      <w:r>
        <w:t xml:space="preserve"> designed as a working document that can be </w:t>
      </w:r>
      <w:r w:rsidRPr="008F4EB6">
        <w:t xml:space="preserve">revised </w:t>
      </w:r>
      <w:r>
        <w:t xml:space="preserve">and modified </w:t>
      </w:r>
      <w:r w:rsidRPr="008F4EB6">
        <w:t xml:space="preserve">to reflect program </w:t>
      </w:r>
      <w:r w:rsidR="006A7314">
        <w:t>adaptations</w:t>
      </w:r>
      <w:r w:rsidRPr="008F4EB6">
        <w:t xml:space="preserve"> and </w:t>
      </w:r>
      <w:r>
        <w:t>lessons learned</w:t>
      </w:r>
      <w:r w:rsidRPr="008F4EB6">
        <w:t xml:space="preserve"> over time.</w:t>
      </w:r>
    </w:p>
    <w:p w:rsidR="007D2081" w:rsidRPr="00372382" w:rsidRDefault="007D2081" w:rsidP="0076542A">
      <w:pPr>
        <w:pStyle w:val="Heading2"/>
      </w:pPr>
      <w:bookmarkStart w:id="2" w:name="_Toc11741521"/>
      <w:r w:rsidRPr="00372382">
        <w:t>Evaluation Team</w:t>
      </w:r>
      <w:bookmarkEnd w:id="2"/>
    </w:p>
    <w:p w:rsidR="007D2081" w:rsidRPr="00C27263" w:rsidRDefault="007D2081" w:rsidP="008F4EB6">
      <w:pPr>
        <w:pStyle w:val="Text"/>
      </w:pPr>
      <w:r w:rsidRPr="00C27263">
        <w:t xml:space="preserve">The </w:t>
      </w:r>
      <w:r w:rsidR="00F92046">
        <w:t xml:space="preserve">evaluation of the </w:t>
      </w:r>
      <w:r w:rsidRPr="00C27263">
        <w:t xml:space="preserve">Kings County </w:t>
      </w:r>
      <w:r w:rsidR="00F92046">
        <w:t>LOHP</w:t>
      </w:r>
      <w:r w:rsidRPr="00C27263">
        <w:t xml:space="preserve"> will be conducted by an external evaluation research firm, EMT Associates, Inc. EMT is a woman-owned small business (WOSB)</w:t>
      </w:r>
      <w:r w:rsidR="0011200C" w:rsidRPr="00C27263">
        <w:t xml:space="preserve"> specializing in e</w:t>
      </w:r>
      <w:r w:rsidR="00235BB8">
        <w:t>valuation</w:t>
      </w:r>
      <w:r w:rsidR="0011200C" w:rsidRPr="00C27263">
        <w:t xml:space="preserve"> in the public health and education fields</w:t>
      </w:r>
      <w:r w:rsidRPr="00C27263">
        <w:t xml:space="preserve">. </w:t>
      </w:r>
      <w:r w:rsidR="0011200C" w:rsidRPr="00C27263">
        <w:t xml:space="preserve">EMT has a seven-year history </w:t>
      </w:r>
      <w:r w:rsidR="00BE2F34" w:rsidRPr="00C27263">
        <w:t>part</w:t>
      </w:r>
      <w:r w:rsidR="00850B37" w:rsidRPr="00C27263">
        <w:t>n</w:t>
      </w:r>
      <w:r w:rsidR="00BE2F34" w:rsidRPr="00C27263">
        <w:t>ering</w:t>
      </w:r>
      <w:r w:rsidR="0011200C" w:rsidRPr="00C27263">
        <w:t xml:space="preserve"> with First 5 Kings County</w:t>
      </w:r>
      <w:r w:rsidR="00BE2F34" w:rsidRPr="00C27263">
        <w:t xml:space="preserve"> to evaluate their publicly</w:t>
      </w:r>
      <w:r w:rsidR="00372382">
        <w:t xml:space="preserve"> </w:t>
      </w:r>
      <w:r w:rsidR="00BE2F34" w:rsidRPr="00C27263">
        <w:t>funded early childhood hea</w:t>
      </w:r>
      <w:r w:rsidR="00850B37" w:rsidRPr="00C27263">
        <w:t>l</w:t>
      </w:r>
      <w:r w:rsidR="00BE2F34" w:rsidRPr="00C27263">
        <w:t>th and education</w:t>
      </w:r>
      <w:r w:rsidR="00850B37" w:rsidRPr="00C27263">
        <w:t>al initiatives</w:t>
      </w:r>
      <w:r w:rsidR="0011200C" w:rsidRPr="00C27263">
        <w:t xml:space="preserve">. </w:t>
      </w:r>
      <w:r w:rsidRPr="00C27263">
        <w:t xml:space="preserve">The evaluation team will be </w:t>
      </w:r>
      <w:r w:rsidR="00850B37" w:rsidRPr="00C27263">
        <w:t xml:space="preserve">directed by EMT President, </w:t>
      </w:r>
      <w:r w:rsidRPr="00C27263">
        <w:t>Victoria Stuart-Cassel</w:t>
      </w:r>
      <w:r w:rsidR="00850B37" w:rsidRPr="00C27263">
        <w:t>, MPPA</w:t>
      </w:r>
      <w:r w:rsidR="00F92046">
        <w:t>,</w:t>
      </w:r>
      <w:r w:rsidR="00850B37" w:rsidRPr="00C27263">
        <w:t xml:space="preserve"> with support from </w:t>
      </w:r>
      <w:r w:rsidR="001E206C">
        <w:t>R</w:t>
      </w:r>
      <w:r w:rsidR="00850B37" w:rsidRPr="00C27263">
        <w:t xml:space="preserve">esearch </w:t>
      </w:r>
      <w:r w:rsidR="001E206C">
        <w:t>A</w:t>
      </w:r>
      <w:r w:rsidR="00850B37" w:rsidRPr="00C27263">
        <w:t>ssistants</w:t>
      </w:r>
      <w:r w:rsidR="00235BB8">
        <w:t>,</w:t>
      </w:r>
      <w:r w:rsidR="00850B37" w:rsidRPr="00C27263">
        <w:t xml:space="preserve"> </w:t>
      </w:r>
      <w:r w:rsidRPr="00C27263">
        <w:t>Brissa Nu</w:t>
      </w:r>
      <w:r w:rsidR="00850B37" w:rsidRPr="00C27263">
        <w:t>ñ</w:t>
      </w:r>
      <w:r w:rsidRPr="00C27263">
        <w:t>ez</w:t>
      </w:r>
      <w:r w:rsidR="00850B37" w:rsidRPr="00C27263">
        <w:t xml:space="preserve"> and Kristy Lao</w:t>
      </w:r>
      <w:r w:rsidRPr="00C27263">
        <w:t xml:space="preserve">. </w:t>
      </w:r>
    </w:p>
    <w:p w:rsidR="007D2081" w:rsidRPr="00372382" w:rsidRDefault="007D2081" w:rsidP="0076542A">
      <w:pPr>
        <w:pStyle w:val="Heading2"/>
      </w:pPr>
      <w:bookmarkStart w:id="3" w:name="_Toc11741522"/>
      <w:r w:rsidRPr="00372382">
        <w:t xml:space="preserve">Stakeholder </w:t>
      </w:r>
      <w:r w:rsidR="00E51092" w:rsidRPr="00372382">
        <w:t>E</w:t>
      </w:r>
      <w:r w:rsidRPr="00372382">
        <w:t>ngagement</w:t>
      </w:r>
      <w:bookmarkEnd w:id="3"/>
      <w:r w:rsidRPr="00372382">
        <w:t xml:space="preserve"> </w:t>
      </w:r>
    </w:p>
    <w:p w:rsidR="003D2E49" w:rsidRDefault="00C27263" w:rsidP="003D2E49">
      <w:pPr>
        <w:pStyle w:val="Text"/>
      </w:pPr>
      <w:r w:rsidRPr="00372382">
        <w:t xml:space="preserve">The Kings County LOHP evaluation will utilize a participatory </w:t>
      </w:r>
      <w:r w:rsidRPr="00C27263">
        <w:t xml:space="preserve">approach </w:t>
      </w:r>
      <w:r w:rsidR="00235BB8">
        <w:t>to engage</w:t>
      </w:r>
      <w:r w:rsidRPr="00C27263">
        <w:t xml:space="preserve"> </w:t>
      </w:r>
      <w:r w:rsidR="001E206C">
        <w:t xml:space="preserve">Kings County </w:t>
      </w:r>
      <w:r w:rsidRPr="00C27263">
        <w:t xml:space="preserve">stakeholders in the evaluation process. </w:t>
      </w:r>
      <w:r w:rsidR="00235BB8">
        <w:t>Potential</w:t>
      </w:r>
      <w:r w:rsidR="00F92046">
        <w:t xml:space="preserve"> stakeholders </w:t>
      </w:r>
      <w:r w:rsidR="003D2E49">
        <w:t xml:space="preserve">will </w:t>
      </w:r>
      <w:r w:rsidR="00F92046">
        <w:t xml:space="preserve">include </w:t>
      </w:r>
      <w:r w:rsidR="00363A81">
        <w:t xml:space="preserve">(1) First 5 </w:t>
      </w:r>
      <w:r w:rsidR="00F92046">
        <w:t xml:space="preserve">Kings County </w:t>
      </w:r>
      <w:r w:rsidR="00363A81">
        <w:t xml:space="preserve">program staff and </w:t>
      </w:r>
      <w:r w:rsidR="001E206C">
        <w:t>coalition partner</w:t>
      </w:r>
      <w:r w:rsidR="00F92046">
        <w:t xml:space="preserve"> agencies and organizations involved in program operations</w:t>
      </w:r>
      <w:r w:rsidR="001E206C">
        <w:t>,</w:t>
      </w:r>
      <w:r w:rsidR="00363A81">
        <w:t xml:space="preserve"> (2) stakeholder</w:t>
      </w:r>
      <w:r w:rsidR="00AB4B0B">
        <w:t xml:space="preserve"> audiences</w:t>
      </w:r>
      <w:r w:rsidR="00363A81">
        <w:t xml:space="preserve"> affected by the program, including </w:t>
      </w:r>
      <w:r w:rsidR="001E206C">
        <w:t xml:space="preserve">pregnant women, parents and family members, </w:t>
      </w:r>
      <w:r w:rsidR="00AB4B0B">
        <w:t xml:space="preserve">schools </w:t>
      </w:r>
      <w:r w:rsidR="001E206C">
        <w:t xml:space="preserve">and </w:t>
      </w:r>
      <w:r w:rsidR="00363A81">
        <w:t>dental and health professionals</w:t>
      </w:r>
      <w:r w:rsidR="001E206C">
        <w:t xml:space="preserve">, and </w:t>
      </w:r>
      <w:r w:rsidR="00363A81">
        <w:t xml:space="preserve">(3) </w:t>
      </w:r>
      <w:r w:rsidR="001E206C">
        <w:t xml:space="preserve">primary </w:t>
      </w:r>
      <w:r w:rsidR="00363A81">
        <w:t xml:space="preserve">users of </w:t>
      </w:r>
      <w:r w:rsidR="00F92046">
        <w:t xml:space="preserve">the </w:t>
      </w:r>
      <w:r w:rsidR="00363A81">
        <w:t>evaluation findings</w:t>
      </w:r>
      <w:r w:rsidR="00F92046">
        <w:t>, including state funders, local Boards and Commission</w:t>
      </w:r>
      <w:r w:rsidR="003D2E49">
        <w:t>s</w:t>
      </w:r>
      <w:r w:rsidR="00F92046">
        <w:t xml:space="preserve"> invested in serving</w:t>
      </w:r>
      <w:r w:rsidR="00AB4B0B">
        <w:t xml:space="preserve"> Kings County’s</w:t>
      </w:r>
      <w:r w:rsidR="00F92046">
        <w:t xml:space="preserve"> children, families, and communities, and </w:t>
      </w:r>
      <w:r w:rsidR="003D2E49">
        <w:t>other counties implementing local oral health programs</w:t>
      </w:r>
      <w:r w:rsidR="001E206C">
        <w:t xml:space="preserve">. </w:t>
      </w:r>
      <w:r w:rsidR="003D2E49">
        <w:t xml:space="preserve">The </w:t>
      </w:r>
      <w:r w:rsidR="00265D90">
        <w:t xml:space="preserve">more detailed </w:t>
      </w:r>
      <w:r w:rsidR="003D2E49">
        <w:t xml:space="preserve">list of key stakeholders is shown in exhibit 1 </w:t>
      </w:r>
      <w:r w:rsidR="00265D90">
        <w:t>on the following page</w:t>
      </w:r>
      <w:r w:rsidR="003D2E49">
        <w:t>.</w:t>
      </w:r>
    </w:p>
    <w:p w:rsidR="007D2081" w:rsidRPr="00FC766F" w:rsidRDefault="00D209C5" w:rsidP="007D2081">
      <w:pPr>
        <w:rPr>
          <w:rFonts w:ascii="Arial Nova" w:hAnsi="Arial Nova"/>
          <w:bCs/>
          <w:sz w:val="24"/>
          <w:szCs w:val="24"/>
        </w:rPr>
      </w:pPr>
      <w:r w:rsidRPr="00FC766F">
        <w:rPr>
          <w:rFonts w:ascii="Arial Nova" w:hAnsi="Arial Nova"/>
          <w:b/>
          <w:sz w:val="24"/>
          <w:szCs w:val="24"/>
        </w:rPr>
        <w:t>Exhibit 1</w:t>
      </w:r>
      <w:r w:rsidRPr="00FC766F">
        <w:rPr>
          <w:rFonts w:ascii="Arial Nova" w:hAnsi="Arial Nova"/>
          <w:b/>
          <w:sz w:val="24"/>
          <w:szCs w:val="24"/>
        </w:rPr>
        <w:tab/>
      </w:r>
      <w:r w:rsidRPr="00FC766F">
        <w:rPr>
          <w:rFonts w:ascii="Arial Nova" w:hAnsi="Arial Nova"/>
          <w:bCs/>
          <w:sz w:val="24"/>
          <w:szCs w:val="24"/>
        </w:rPr>
        <w:t>Key Stakeholders and Primary Users of the Evaluation</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865"/>
        <w:gridCol w:w="2790"/>
        <w:gridCol w:w="3675"/>
      </w:tblGrid>
      <w:tr w:rsidR="007D2081" w:rsidTr="00BD4ACB">
        <w:tc>
          <w:tcPr>
            <w:tcW w:w="2865" w:type="dxa"/>
          </w:tcPr>
          <w:p w:rsidR="007D2081" w:rsidRPr="00443DA0" w:rsidRDefault="007D2081" w:rsidP="00443DA0">
            <w:pPr>
              <w:jc w:val="center"/>
              <w:rPr>
                <w:rFonts w:ascii="Arial Nova" w:hAnsi="Arial Nova"/>
                <w:b/>
                <w:u w:val="single"/>
              </w:rPr>
            </w:pPr>
            <w:r w:rsidRPr="00443DA0">
              <w:rPr>
                <w:rFonts w:ascii="Arial Nova" w:hAnsi="Arial Nova"/>
                <w:b/>
                <w:u w:val="single"/>
              </w:rPr>
              <w:t>Stakeholders involved in program operations</w:t>
            </w:r>
          </w:p>
        </w:tc>
        <w:tc>
          <w:tcPr>
            <w:tcW w:w="2790" w:type="dxa"/>
          </w:tcPr>
          <w:p w:rsidR="007D2081" w:rsidRPr="00443DA0" w:rsidRDefault="007D2081" w:rsidP="00443DA0">
            <w:pPr>
              <w:jc w:val="center"/>
              <w:rPr>
                <w:rFonts w:ascii="Arial Nova" w:hAnsi="Arial Nova"/>
                <w:b/>
                <w:u w:val="single"/>
              </w:rPr>
            </w:pPr>
            <w:r w:rsidRPr="00443DA0">
              <w:rPr>
                <w:rFonts w:ascii="Arial Nova" w:hAnsi="Arial Nova"/>
                <w:b/>
                <w:u w:val="single"/>
              </w:rPr>
              <w:t>Stakeholders affected by the pro</w:t>
            </w:r>
            <w:r w:rsidR="00954A09" w:rsidRPr="00443DA0">
              <w:rPr>
                <w:rFonts w:ascii="Arial Nova" w:hAnsi="Arial Nova"/>
                <w:b/>
                <w:u w:val="single"/>
              </w:rPr>
              <w:t>g</w:t>
            </w:r>
            <w:r w:rsidRPr="00443DA0">
              <w:rPr>
                <w:rFonts w:ascii="Arial Nova" w:hAnsi="Arial Nova"/>
                <w:b/>
                <w:u w:val="single"/>
              </w:rPr>
              <w:t>ram</w:t>
            </w:r>
          </w:p>
        </w:tc>
        <w:tc>
          <w:tcPr>
            <w:tcW w:w="3675" w:type="dxa"/>
          </w:tcPr>
          <w:p w:rsidR="007D2081" w:rsidRPr="00443DA0" w:rsidRDefault="00E51092" w:rsidP="00443DA0">
            <w:pPr>
              <w:jc w:val="center"/>
              <w:rPr>
                <w:rFonts w:ascii="Arial Nova" w:hAnsi="Arial Nova"/>
                <w:b/>
                <w:u w:val="single"/>
              </w:rPr>
            </w:pPr>
            <w:r w:rsidRPr="00443DA0">
              <w:rPr>
                <w:rFonts w:ascii="Arial Nova" w:hAnsi="Arial Nova"/>
                <w:b/>
                <w:u w:val="single"/>
              </w:rPr>
              <w:t>Primary users of the evaluation</w:t>
            </w:r>
          </w:p>
        </w:tc>
      </w:tr>
      <w:tr w:rsidR="007D2081" w:rsidTr="00BD4ACB">
        <w:trPr>
          <w:trHeight w:val="2692"/>
        </w:trPr>
        <w:tc>
          <w:tcPr>
            <w:tcW w:w="2865" w:type="dxa"/>
          </w:tcPr>
          <w:p w:rsidR="007D2081" w:rsidRPr="00AF3F80" w:rsidRDefault="00296D92" w:rsidP="00AF3F80">
            <w:pPr>
              <w:pStyle w:val="ListParagraph"/>
              <w:numPr>
                <w:ilvl w:val="0"/>
                <w:numId w:val="4"/>
              </w:numPr>
              <w:ind w:left="240" w:hanging="210"/>
              <w:rPr>
                <w:rFonts w:ascii="Arial Nova" w:hAnsi="Arial Nova"/>
              </w:rPr>
            </w:pPr>
            <w:r w:rsidRPr="00AF3F80">
              <w:rPr>
                <w:rFonts w:ascii="Arial Nova" w:hAnsi="Arial Nova"/>
              </w:rPr>
              <w:t>First 5 Kings County</w:t>
            </w:r>
          </w:p>
          <w:p w:rsidR="00850682" w:rsidRPr="00AF3F80" w:rsidRDefault="00850682" w:rsidP="00AF3F80">
            <w:pPr>
              <w:pStyle w:val="ListParagraph"/>
              <w:numPr>
                <w:ilvl w:val="0"/>
                <w:numId w:val="4"/>
              </w:numPr>
              <w:ind w:left="240" w:hanging="210"/>
              <w:rPr>
                <w:rFonts w:ascii="Arial Nova" w:hAnsi="Arial Nova"/>
              </w:rPr>
            </w:pPr>
            <w:proofErr w:type="spellStart"/>
            <w:r w:rsidRPr="00AF3F80">
              <w:rPr>
                <w:rFonts w:ascii="Arial Nova" w:hAnsi="Arial Nova"/>
              </w:rPr>
              <w:t>Dir</w:t>
            </w:r>
            <w:r w:rsidR="00267BCB" w:rsidRPr="00AF3F80">
              <w:rPr>
                <w:rFonts w:ascii="Arial Nova" w:hAnsi="Arial Nova"/>
              </w:rPr>
              <w:t>inger</w:t>
            </w:r>
            <w:proofErr w:type="spellEnd"/>
            <w:r w:rsidR="00267BCB" w:rsidRPr="00AF3F80">
              <w:rPr>
                <w:rFonts w:ascii="Arial Nova" w:hAnsi="Arial Nova"/>
              </w:rPr>
              <w:t xml:space="preserve"> and Associates</w:t>
            </w:r>
          </w:p>
          <w:p w:rsidR="00267BCB" w:rsidRPr="00AF3F80" w:rsidRDefault="00267BCB" w:rsidP="00AF3F80">
            <w:pPr>
              <w:pStyle w:val="ListParagraph"/>
              <w:numPr>
                <w:ilvl w:val="0"/>
                <w:numId w:val="4"/>
              </w:numPr>
              <w:ind w:left="240" w:hanging="210"/>
              <w:rPr>
                <w:rFonts w:ascii="Arial Nova" w:hAnsi="Arial Nova"/>
              </w:rPr>
            </w:pPr>
            <w:r w:rsidRPr="00AF3F80">
              <w:rPr>
                <w:rFonts w:ascii="Arial Nova" w:hAnsi="Arial Nova"/>
              </w:rPr>
              <w:t xml:space="preserve">EMT Associates, Inc. </w:t>
            </w:r>
          </w:p>
          <w:p w:rsidR="00AF3F80" w:rsidRPr="00AF3F80" w:rsidRDefault="00AF3F80" w:rsidP="00AF3F80">
            <w:pPr>
              <w:pStyle w:val="ListParagraph"/>
              <w:numPr>
                <w:ilvl w:val="0"/>
                <w:numId w:val="4"/>
              </w:numPr>
              <w:ind w:left="240" w:hanging="210"/>
              <w:rPr>
                <w:rFonts w:ascii="Arial Nova" w:hAnsi="Arial Nova"/>
              </w:rPr>
            </w:pPr>
            <w:r w:rsidRPr="00AF3F80">
              <w:rPr>
                <w:rFonts w:ascii="Arial Nova" w:hAnsi="Arial Nova"/>
              </w:rPr>
              <w:t xml:space="preserve">Federally qualified health centers </w:t>
            </w:r>
            <w:r w:rsidR="000F182A">
              <w:rPr>
                <w:rFonts w:ascii="Arial Nova" w:hAnsi="Arial Nova"/>
              </w:rPr>
              <w:t>(</w:t>
            </w:r>
            <w:r w:rsidRPr="00AF3F80">
              <w:rPr>
                <w:rFonts w:ascii="Arial Nova" w:hAnsi="Arial Nova"/>
              </w:rPr>
              <w:t>FQHCs)</w:t>
            </w:r>
          </w:p>
          <w:p w:rsidR="00AF3F80" w:rsidRPr="00AF3F80" w:rsidRDefault="00AF3F80" w:rsidP="00AF3F80">
            <w:pPr>
              <w:pStyle w:val="ListParagraph"/>
              <w:numPr>
                <w:ilvl w:val="0"/>
                <w:numId w:val="4"/>
              </w:numPr>
              <w:ind w:left="240" w:hanging="210"/>
              <w:rPr>
                <w:rFonts w:ascii="Arial Nova" w:hAnsi="Arial Nova"/>
              </w:rPr>
            </w:pPr>
            <w:r w:rsidRPr="00AF3F80">
              <w:rPr>
                <w:rFonts w:ascii="Arial Nova" w:hAnsi="Arial Nova"/>
              </w:rPr>
              <w:t>Rural and tribally operated health clinics</w:t>
            </w:r>
          </w:p>
          <w:p w:rsidR="00267BCB" w:rsidRPr="00AF3F80" w:rsidRDefault="00267BCB" w:rsidP="00AF3F80">
            <w:pPr>
              <w:pStyle w:val="ListParagraph"/>
              <w:numPr>
                <w:ilvl w:val="0"/>
                <w:numId w:val="4"/>
              </w:numPr>
              <w:ind w:left="240" w:hanging="210"/>
              <w:rPr>
                <w:rFonts w:ascii="Arial Nova" w:hAnsi="Arial Nova"/>
              </w:rPr>
            </w:pPr>
            <w:r w:rsidRPr="00AF3F80">
              <w:rPr>
                <w:rFonts w:ascii="Arial Nova" w:hAnsi="Arial Nova"/>
              </w:rPr>
              <w:t>Public schools</w:t>
            </w:r>
          </w:p>
          <w:p w:rsidR="00296D92" w:rsidRDefault="00267BCB" w:rsidP="00BD4ACB">
            <w:pPr>
              <w:pStyle w:val="ListParagraph"/>
              <w:numPr>
                <w:ilvl w:val="0"/>
                <w:numId w:val="4"/>
              </w:numPr>
              <w:ind w:left="240" w:hanging="210"/>
              <w:rPr>
                <w:rFonts w:ascii="Arial Nova" w:hAnsi="Arial Nova"/>
                <w:b/>
              </w:rPr>
            </w:pPr>
            <w:r w:rsidRPr="00AF3F80">
              <w:rPr>
                <w:rFonts w:ascii="Arial Nova" w:hAnsi="Arial Nova"/>
              </w:rPr>
              <w:t>CA State Preschool Programs</w:t>
            </w:r>
          </w:p>
        </w:tc>
        <w:tc>
          <w:tcPr>
            <w:tcW w:w="2790" w:type="dxa"/>
          </w:tcPr>
          <w:p w:rsidR="007D2081" w:rsidRPr="00AF3F80" w:rsidRDefault="00296D92" w:rsidP="00AF3F80">
            <w:pPr>
              <w:pStyle w:val="ListParagraph"/>
              <w:numPr>
                <w:ilvl w:val="0"/>
                <w:numId w:val="4"/>
              </w:numPr>
              <w:ind w:left="271" w:hanging="179"/>
              <w:rPr>
                <w:rFonts w:ascii="Arial Nova" w:hAnsi="Arial Nova"/>
              </w:rPr>
            </w:pPr>
            <w:r w:rsidRPr="00AF3F80">
              <w:rPr>
                <w:rFonts w:ascii="Arial Nova" w:hAnsi="Arial Nova"/>
              </w:rPr>
              <w:t>Pregnant women</w:t>
            </w:r>
          </w:p>
          <w:p w:rsidR="00296D92" w:rsidRPr="00AF3F80" w:rsidRDefault="00296D92" w:rsidP="00AF3F80">
            <w:pPr>
              <w:pStyle w:val="ListParagraph"/>
              <w:numPr>
                <w:ilvl w:val="0"/>
                <w:numId w:val="4"/>
              </w:numPr>
              <w:ind w:left="271" w:hanging="179"/>
              <w:rPr>
                <w:rFonts w:ascii="Arial Nova" w:hAnsi="Arial Nova"/>
              </w:rPr>
            </w:pPr>
            <w:r w:rsidRPr="00AF3F80">
              <w:rPr>
                <w:rFonts w:ascii="Arial Nova" w:hAnsi="Arial Nova"/>
              </w:rPr>
              <w:t>Preschool age children</w:t>
            </w:r>
          </w:p>
          <w:p w:rsidR="00296D92" w:rsidRPr="00AF3F80" w:rsidRDefault="00296D92" w:rsidP="00AF3F80">
            <w:pPr>
              <w:pStyle w:val="ListParagraph"/>
              <w:numPr>
                <w:ilvl w:val="0"/>
                <w:numId w:val="4"/>
              </w:numPr>
              <w:ind w:left="271" w:hanging="179"/>
              <w:rPr>
                <w:rFonts w:ascii="Arial Nova" w:hAnsi="Arial Nova"/>
              </w:rPr>
            </w:pPr>
            <w:r w:rsidRPr="00AF3F80">
              <w:rPr>
                <w:rFonts w:ascii="Arial Nova" w:hAnsi="Arial Nova"/>
              </w:rPr>
              <w:t>School-age children</w:t>
            </w:r>
          </w:p>
          <w:p w:rsidR="00BE2F34" w:rsidRPr="00AF3F80" w:rsidRDefault="00BE2F34" w:rsidP="00AF3F80">
            <w:pPr>
              <w:pStyle w:val="ListParagraph"/>
              <w:numPr>
                <w:ilvl w:val="0"/>
                <w:numId w:val="4"/>
              </w:numPr>
              <w:ind w:left="271" w:hanging="179"/>
              <w:rPr>
                <w:rFonts w:ascii="Arial Nova" w:hAnsi="Arial Nova"/>
              </w:rPr>
            </w:pPr>
            <w:r w:rsidRPr="00AF3F80">
              <w:rPr>
                <w:rFonts w:ascii="Arial Nova" w:hAnsi="Arial Nova"/>
              </w:rPr>
              <w:t>Parents and caregivers of preschool and school-age children</w:t>
            </w:r>
          </w:p>
          <w:p w:rsidR="00296D92" w:rsidRPr="00AF3F80" w:rsidRDefault="00296D92" w:rsidP="00AF3F80">
            <w:pPr>
              <w:pStyle w:val="ListParagraph"/>
              <w:numPr>
                <w:ilvl w:val="0"/>
                <w:numId w:val="4"/>
              </w:numPr>
              <w:ind w:left="271" w:hanging="179"/>
              <w:rPr>
                <w:rFonts w:ascii="Arial Nova" w:hAnsi="Arial Nova"/>
              </w:rPr>
            </w:pPr>
            <w:r w:rsidRPr="00AF3F80">
              <w:rPr>
                <w:rFonts w:ascii="Arial Nova" w:hAnsi="Arial Nova"/>
              </w:rPr>
              <w:t>Preschool providers</w:t>
            </w:r>
          </w:p>
          <w:p w:rsidR="00296D92" w:rsidRPr="00AF3F80" w:rsidRDefault="00296D92" w:rsidP="00AF3F80">
            <w:pPr>
              <w:pStyle w:val="ListParagraph"/>
              <w:numPr>
                <w:ilvl w:val="0"/>
                <w:numId w:val="4"/>
              </w:numPr>
              <w:ind w:left="271" w:hanging="179"/>
              <w:rPr>
                <w:rFonts w:ascii="Arial Nova" w:hAnsi="Arial Nova"/>
              </w:rPr>
            </w:pPr>
            <w:r w:rsidRPr="00AF3F80">
              <w:rPr>
                <w:rFonts w:ascii="Arial Nova" w:hAnsi="Arial Nova"/>
              </w:rPr>
              <w:t>Public schools</w:t>
            </w:r>
          </w:p>
          <w:p w:rsidR="00296D92" w:rsidRPr="00AF3F80" w:rsidRDefault="00296D92" w:rsidP="00AF3F80">
            <w:pPr>
              <w:pStyle w:val="ListParagraph"/>
              <w:numPr>
                <w:ilvl w:val="0"/>
                <w:numId w:val="4"/>
              </w:numPr>
              <w:ind w:left="271" w:hanging="179"/>
              <w:rPr>
                <w:rFonts w:ascii="Arial Nova" w:hAnsi="Arial Nova"/>
                <w:b/>
              </w:rPr>
            </w:pPr>
            <w:r w:rsidRPr="00AF3F80">
              <w:rPr>
                <w:rFonts w:ascii="Arial Nova" w:hAnsi="Arial Nova"/>
              </w:rPr>
              <w:t>Dental providers</w:t>
            </w:r>
          </w:p>
        </w:tc>
        <w:tc>
          <w:tcPr>
            <w:tcW w:w="3675" w:type="dxa"/>
          </w:tcPr>
          <w:p w:rsidR="00267BCB" w:rsidRDefault="00267BCB" w:rsidP="00AF3F80">
            <w:pPr>
              <w:pStyle w:val="ListParagraph"/>
              <w:numPr>
                <w:ilvl w:val="0"/>
                <w:numId w:val="4"/>
              </w:numPr>
              <w:ind w:left="211" w:hanging="239"/>
              <w:rPr>
                <w:rFonts w:ascii="Arial Nova" w:hAnsi="Arial Nova"/>
              </w:rPr>
            </w:pPr>
            <w:r w:rsidRPr="00AF3F80">
              <w:rPr>
                <w:rFonts w:ascii="Arial Nova" w:hAnsi="Arial Nova"/>
              </w:rPr>
              <w:t>CA Department of Public Health, Office of Oral Health</w:t>
            </w:r>
          </w:p>
          <w:p w:rsidR="008F4231" w:rsidRPr="00AF3F80" w:rsidRDefault="008F4231" w:rsidP="00AF3F80">
            <w:pPr>
              <w:pStyle w:val="ListParagraph"/>
              <w:numPr>
                <w:ilvl w:val="0"/>
                <w:numId w:val="4"/>
              </w:numPr>
              <w:ind w:left="211" w:hanging="239"/>
              <w:rPr>
                <w:rFonts w:ascii="Arial Nova" w:hAnsi="Arial Nova"/>
              </w:rPr>
            </w:pPr>
            <w:r>
              <w:rPr>
                <w:rFonts w:ascii="Arial Nova" w:hAnsi="Arial Nova"/>
              </w:rPr>
              <w:t>California counties</w:t>
            </w:r>
          </w:p>
          <w:p w:rsidR="007D2081" w:rsidRPr="008F4231" w:rsidRDefault="00E51092" w:rsidP="00AF3F80">
            <w:pPr>
              <w:pStyle w:val="ListParagraph"/>
              <w:numPr>
                <w:ilvl w:val="0"/>
                <w:numId w:val="4"/>
              </w:numPr>
              <w:ind w:left="211" w:hanging="239"/>
              <w:rPr>
                <w:rFonts w:ascii="Arial Nova" w:hAnsi="Arial Nova"/>
              </w:rPr>
            </w:pPr>
            <w:r w:rsidRPr="00AF3F80">
              <w:rPr>
                <w:rFonts w:ascii="Arial Nova" w:hAnsi="Arial Nova"/>
              </w:rPr>
              <w:t>First 5 Kings County Commission</w:t>
            </w:r>
          </w:p>
          <w:p w:rsidR="008F4231" w:rsidRPr="008F4231" w:rsidRDefault="008F4231" w:rsidP="00AF3F80">
            <w:pPr>
              <w:pStyle w:val="ListParagraph"/>
              <w:numPr>
                <w:ilvl w:val="0"/>
                <w:numId w:val="4"/>
              </w:numPr>
              <w:ind w:left="211" w:hanging="239"/>
              <w:rPr>
                <w:rFonts w:ascii="Arial Nova" w:hAnsi="Arial Nova"/>
              </w:rPr>
            </w:pPr>
            <w:r>
              <w:rPr>
                <w:rFonts w:ascii="Arial Nova" w:hAnsi="Arial Nova"/>
              </w:rPr>
              <w:t>Kings County Board of Supervisors</w:t>
            </w:r>
          </w:p>
          <w:p w:rsidR="008F4231" w:rsidRPr="008F4231" w:rsidRDefault="008F4231" w:rsidP="00AF3F80">
            <w:pPr>
              <w:pStyle w:val="ListParagraph"/>
              <w:numPr>
                <w:ilvl w:val="0"/>
                <w:numId w:val="4"/>
              </w:numPr>
              <w:ind w:left="211" w:hanging="239"/>
              <w:rPr>
                <w:rFonts w:ascii="Arial Nova" w:hAnsi="Arial Nova"/>
              </w:rPr>
            </w:pPr>
            <w:r>
              <w:rPr>
                <w:rFonts w:ascii="Arial Nova" w:hAnsi="Arial Nova"/>
              </w:rPr>
              <w:t>Local school boards</w:t>
            </w:r>
          </w:p>
          <w:p w:rsidR="008F4231" w:rsidRPr="008F4231" w:rsidRDefault="008F4231" w:rsidP="00AF3F80">
            <w:pPr>
              <w:pStyle w:val="ListParagraph"/>
              <w:numPr>
                <w:ilvl w:val="0"/>
                <w:numId w:val="4"/>
              </w:numPr>
              <w:ind w:left="211" w:hanging="239"/>
              <w:rPr>
                <w:rFonts w:ascii="Arial Nova" w:hAnsi="Arial Nova"/>
              </w:rPr>
            </w:pPr>
            <w:r w:rsidRPr="008F4231">
              <w:rPr>
                <w:rFonts w:ascii="Arial Nova" w:hAnsi="Arial Nova"/>
              </w:rPr>
              <w:t>Coalition partner organizations</w:t>
            </w:r>
          </w:p>
          <w:p w:rsidR="008F4231" w:rsidRPr="00AF3F80" w:rsidRDefault="008F4231" w:rsidP="00AF3F80">
            <w:pPr>
              <w:pStyle w:val="ListParagraph"/>
              <w:numPr>
                <w:ilvl w:val="0"/>
                <w:numId w:val="4"/>
              </w:numPr>
              <w:ind w:left="211" w:hanging="239"/>
              <w:rPr>
                <w:rFonts w:ascii="Arial Nova" w:hAnsi="Arial Nova"/>
                <w:b/>
              </w:rPr>
            </w:pPr>
            <w:r w:rsidRPr="008F4231">
              <w:rPr>
                <w:rFonts w:ascii="Arial Nova" w:hAnsi="Arial Nova"/>
              </w:rPr>
              <w:t>Members of the target population</w:t>
            </w:r>
          </w:p>
        </w:tc>
      </w:tr>
    </w:tbl>
    <w:p w:rsidR="00363A81" w:rsidRDefault="00363A81" w:rsidP="007D2081">
      <w:pPr>
        <w:rPr>
          <w:rFonts w:ascii="Arial Nova" w:hAnsi="Arial Nova"/>
          <w:b/>
        </w:rPr>
      </w:pPr>
    </w:p>
    <w:p w:rsidR="009D0CB4" w:rsidRPr="009D0CB4" w:rsidRDefault="003D2E49" w:rsidP="003D2E49">
      <w:pPr>
        <w:pStyle w:val="Text"/>
      </w:pPr>
      <w:r>
        <w:t xml:space="preserve">Stakeholder engagement will occur throughout the </w:t>
      </w:r>
      <w:r w:rsidRPr="00C27263">
        <w:t xml:space="preserve">evaluation process </w:t>
      </w:r>
      <w:r>
        <w:t>beginning with</w:t>
      </w:r>
      <w:r w:rsidRPr="00C27263">
        <w:t xml:space="preserve"> </w:t>
      </w:r>
      <w:r>
        <w:t xml:space="preserve">the </w:t>
      </w:r>
      <w:r w:rsidRPr="00C27263">
        <w:t>evaluation design.</w:t>
      </w:r>
      <w:r>
        <w:t xml:space="preserve"> </w:t>
      </w:r>
      <w:r w:rsidR="009D0CB4" w:rsidRPr="009D0CB4">
        <w:t>As part of the stakeholder engagement approach, the evaluation team presented the preliminary evaluation plan to attendees at the May 2019 coalition meeting. Coalition members were invited to provide input into the draft evaluation questions, the proposed methodology, and the approach to sharing evaluation findings with key stakeholder audiences. Input from coalition members was incorporated into the final iteration of the LOHP evaluation plan.</w:t>
      </w:r>
      <w:r w:rsidR="003213B3">
        <w:t xml:space="preserve"> The evaluation team will continue to solicit input from stakeholders at key points throughout the evaluation process</w:t>
      </w:r>
      <w:r w:rsidR="00AB4B0B">
        <w:t>,</w:t>
      </w:r>
      <w:r w:rsidR="003213B3">
        <w:t xml:space="preserve"> primarily through engagement with the oral health coalition at regularly scheduled meetings.  </w:t>
      </w:r>
    </w:p>
    <w:p w:rsidR="007D2081" w:rsidRDefault="007D2081" w:rsidP="0076542A">
      <w:pPr>
        <w:pStyle w:val="Heading2"/>
      </w:pPr>
      <w:bookmarkStart w:id="4" w:name="_Toc11741523"/>
      <w:r w:rsidRPr="00121206">
        <w:t>Intended Use and Users</w:t>
      </w:r>
      <w:bookmarkEnd w:id="4"/>
    </w:p>
    <w:p w:rsidR="00121206" w:rsidRPr="008F4231" w:rsidRDefault="00AB4B0B" w:rsidP="00D209C5">
      <w:pPr>
        <w:pStyle w:val="Text"/>
      </w:pPr>
      <w:r>
        <w:t xml:space="preserve">The </w:t>
      </w:r>
      <w:r w:rsidR="00121206" w:rsidRPr="008F4231">
        <w:t xml:space="preserve">Kings County LOHP program evaluation </w:t>
      </w:r>
      <w:r w:rsidR="00A52778">
        <w:t>is designed</w:t>
      </w:r>
      <w:r w:rsidR="00121206" w:rsidRPr="008F4231">
        <w:t xml:space="preserve"> to promote and support </w:t>
      </w:r>
      <w:r w:rsidR="003213B3">
        <w:t xml:space="preserve">program </w:t>
      </w:r>
      <w:r w:rsidR="00121206" w:rsidRPr="008F4231">
        <w:t xml:space="preserve">accountability, </w:t>
      </w:r>
      <w:r w:rsidR="003213B3" w:rsidRPr="008F4231">
        <w:t xml:space="preserve">knowledge development, </w:t>
      </w:r>
      <w:r w:rsidR="00121206" w:rsidRPr="008F4231">
        <w:t xml:space="preserve">and program improvement. The evaluation will document </w:t>
      </w:r>
      <w:r w:rsidR="00A52778">
        <w:t xml:space="preserve">implementation </w:t>
      </w:r>
      <w:r>
        <w:t xml:space="preserve">of proposed strategies and activities </w:t>
      </w:r>
      <w:r w:rsidR="00A52778">
        <w:t xml:space="preserve">and </w:t>
      </w:r>
      <w:r>
        <w:t xml:space="preserve">will measure </w:t>
      </w:r>
      <w:r w:rsidR="00121206" w:rsidRPr="008F4231">
        <w:t xml:space="preserve">progress toward </w:t>
      </w:r>
      <w:r w:rsidR="003B6A31">
        <w:t>the achievement of</w:t>
      </w:r>
      <w:r w:rsidR="00121206" w:rsidRPr="008F4231">
        <w:t xml:space="preserve"> key goals</w:t>
      </w:r>
      <w:r>
        <w:t xml:space="preserve">, </w:t>
      </w:r>
      <w:r w:rsidR="00121206" w:rsidRPr="008F4231">
        <w:t xml:space="preserve">objectives, </w:t>
      </w:r>
      <w:r>
        <w:t xml:space="preserve">and outcomes. The evaluation </w:t>
      </w:r>
      <w:r w:rsidR="00A52778">
        <w:t>will focus on</w:t>
      </w:r>
      <w:r w:rsidR="00121206" w:rsidRPr="008F4231">
        <w:t xml:space="preserve"> identify</w:t>
      </w:r>
      <w:r w:rsidR="00A52778">
        <w:t>ing</w:t>
      </w:r>
      <w:r w:rsidR="00121206" w:rsidRPr="008F4231">
        <w:t xml:space="preserve"> best practices</w:t>
      </w:r>
      <w:r w:rsidR="00A52778">
        <w:t xml:space="preserve"> </w:t>
      </w:r>
      <w:r w:rsidR="00121206" w:rsidRPr="008F4231">
        <w:t>in oral health prevention</w:t>
      </w:r>
      <w:r w:rsidR="00A52778">
        <w:t xml:space="preserve"> and lessons learned from the implementation effort</w:t>
      </w:r>
      <w:r>
        <w:t xml:space="preserve"> </w:t>
      </w:r>
      <w:r w:rsidR="00A52778">
        <w:t xml:space="preserve">and will use evaluation findings to refine and enhance the five-year work plan. </w:t>
      </w:r>
    </w:p>
    <w:p w:rsidR="00121206" w:rsidRPr="008F4231" w:rsidRDefault="00121206" w:rsidP="00D209C5">
      <w:pPr>
        <w:pStyle w:val="Text"/>
      </w:pPr>
      <w:r w:rsidRPr="008F4231">
        <w:t>The intended users of evaluation findings identified through the participatory evaluation process included the California Department of Public Health</w:t>
      </w:r>
      <w:r w:rsidR="00AB4B0B">
        <w:t>’s</w:t>
      </w:r>
      <w:r w:rsidRPr="008F4231">
        <w:t xml:space="preserve">, Office of Oral Health, the First 5 Kings County </w:t>
      </w:r>
      <w:r w:rsidR="0076542A">
        <w:t xml:space="preserve">Children and Families </w:t>
      </w:r>
      <w:r w:rsidRPr="008F4231">
        <w:t xml:space="preserve">Commission, the Kings County Board of Supervisors, local school boards, coalition members and member organizations, and </w:t>
      </w:r>
      <w:r w:rsidR="003B6A31">
        <w:t>individuals in</w:t>
      </w:r>
      <w:r w:rsidRPr="008F4231">
        <w:t xml:space="preserve"> the community</w:t>
      </w:r>
      <w:r w:rsidR="00A52778">
        <w:t xml:space="preserve"> who are served by the program</w:t>
      </w:r>
      <w:r w:rsidRPr="008F4231">
        <w:t xml:space="preserve">. </w:t>
      </w:r>
    </w:p>
    <w:p w:rsidR="007D2081" w:rsidRPr="00121206" w:rsidRDefault="007D2081" w:rsidP="0076542A">
      <w:pPr>
        <w:pStyle w:val="Heading2"/>
      </w:pPr>
      <w:bookmarkStart w:id="5" w:name="_Toc11741524"/>
      <w:r w:rsidRPr="00121206">
        <w:t>Evaluation Resources</w:t>
      </w:r>
      <w:bookmarkEnd w:id="5"/>
      <w:r w:rsidRPr="00121206">
        <w:t xml:space="preserve"> </w:t>
      </w:r>
    </w:p>
    <w:p w:rsidR="00024E41" w:rsidRDefault="00E51092" w:rsidP="00EE5A8D">
      <w:pPr>
        <w:pStyle w:val="Text"/>
        <w:rPr>
          <w:rFonts w:ascii="Arial Nova" w:hAnsi="Arial Nova"/>
          <w:b/>
          <w:sz w:val="26"/>
          <w:szCs w:val="26"/>
        </w:rPr>
      </w:pPr>
      <w:r w:rsidRPr="00372382">
        <w:t xml:space="preserve">First 5 Kings County contracted with EMT Associates, Inc. </w:t>
      </w:r>
      <w:r w:rsidR="00AB4B0B">
        <w:t xml:space="preserve">to implement the evaluation plan </w:t>
      </w:r>
      <w:r w:rsidRPr="00372382">
        <w:t xml:space="preserve">over </w:t>
      </w:r>
      <w:r w:rsidR="00A25F4A">
        <w:t>the</w:t>
      </w:r>
      <w:r w:rsidRPr="00372382">
        <w:t xml:space="preserve"> f</w:t>
      </w:r>
      <w:r w:rsidR="00954A09" w:rsidRPr="00372382">
        <w:t>our</w:t>
      </w:r>
      <w:r w:rsidRPr="00372382">
        <w:t xml:space="preserve">-year </w:t>
      </w:r>
      <w:r w:rsidR="00954A09" w:rsidRPr="00372382">
        <w:t xml:space="preserve">period from FY 2018-19 to FY 2021-22. </w:t>
      </w:r>
      <w:r w:rsidR="00EE5A8D">
        <w:t>The evaluation will be supported by the LOHP Project Director, who will lead field data collection activities</w:t>
      </w:r>
      <w:r w:rsidR="00AB4B0B">
        <w:t xml:space="preserve"> and who will serve as a liaison between partner agencies and the evaluation team</w:t>
      </w:r>
      <w:r w:rsidR="00EE5A8D">
        <w:t>.</w:t>
      </w:r>
    </w:p>
    <w:p w:rsidR="007D2081" w:rsidRPr="00121206" w:rsidRDefault="007D2081" w:rsidP="0076542A">
      <w:pPr>
        <w:pStyle w:val="Heading2"/>
      </w:pPr>
      <w:bookmarkStart w:id="6" w:name="_Toc11741525"/>
      <w:r w:rsidRPr="00121206">
        <w:t>Evaluation Budget</w:t>
      </w:r>
      <w:bookmarkEnd w:id="6"/>
    </w:p>
    <w:p w:rsidR="00D70F56" w:rsidRDefault="00D70F56" w:rsidP="00D209C5">
      <w:pPr>
        <w:pStyle w:val="Text"/>
      </w:pPr>
      <w:r w:rsidRPr="00372382">
        <w:t>The total budget supporting evaluation is $37,</w:t>
      </w:r>
      <w:r w:rsidR="00803E74" w:rsidRPr="00372382">
        <w:t>799</w:t>
      </w:r>
      <w:r w:rsidRPr="00372382">
        <w:t xml:space="preserve"> over the four-year grant funded period. </w:t>
      </w:r>
      <w:r w:rsidR="009F15A8">
        <w:t>The evaluation budget allocates $13,</w:t>
      </w:r>
      <w:r w:rsidR="00DB677C">
        <w:t>631</w:t>
      </w:r>
      <w:r w:rsidR="009F15A8">
        <w:t xml:space="preserve"> </w:t>
      </w:r>
      <w:r w:rsidR="00DB677C">
        <w:t>to cover evaluation activities in the</w:t>
      </w:r>
      <w:r w:rsidR="009F15A8">
        <w:t xml:space="preserve"> </w:t>
      </w:r>
      <w:proofErr w:type="spellStart"/>
      <w:r w:rsidR="009F15A8">
        <w:t>the</w:t>
      </w:r>
      <w:proofErr w:type="spellEnd"/>
      <w:r w:rsidR="009F15A8">
        <w:t xml:space="preserve"> initial planning year and $8,0</w:t>
      </w:r>
      <w:r w:rsidR="00BC1F14">
        <w:t>56</w:t>
      </w:r>
      <w:r w:rsidR="009F15A8">
        <w:t xml:space="preserve"> in each subsequent year of implementation. </w:t>
      </w:r>
      <w:r w:rsidRPr="00372382">
        <w:t xml:space="preserve">The </w:t>
      </w:r>
      <w:r w:rsidR="0076542A">
        <w:t xml:space="preserve">total and annual </w:t>
      </w:r>
      <w:r w:rsidRPr="00372382">
        <w:t xml:space="preserve">budget allocation is shown in </w:t>
      </w:r>
      <w:r w:rsidR="00D209C5">
        <w:t>exhibit 2</w:t>
      </w:r>
      <w:r w:rsidRPr="00372382">
        <w:t xml:space="preserve"> below:</w:t>
      </w:r>
    </w:p>
    <w:p w:rsidR="00D209C5" w:rsidRPr="00FC766F" w:rsidRDefault="00D209C5" w:rsidP="00D209C5">
      <w:pPr>
        <w:rPr>
          <w:rFonts w:ascii="Arial Nova" w:hAnsi="Arial Nova"/>
          <w:bCs/>
          <w:sz w:val="24"/>
          <w:szCs w:val="24"/>
        </w:rPr>
      </w:pPr>
      <w:r w:rsidRPr="00FC766F">
        <w:rPr>
          <w:rFonts w:ascii="Arial Nova" w:hAnsi="Arial Nova"/>
          <w:b/>
          <w:sz w:val="24"/>
          <w:szCs w:val="24"/>
        </w:rPr>
        <w:t>Exhibit 2</w:t>
      </w:r>
      <w:r w:rsidRPr="00FC766F">
        <w:rPr>
          <w:rFonts w:ascii="Arial Nova" w:hAnsi="Arial Nova"/>
          <w:b/>
          <w:sz w:val="24"/>
          <w:szCs w:val="24"/>
        </w:rPr>
        <w:tab/>
      </w:r>
      <w:r w:rsidRPr="00FC766F">
        <w:rPr>
          <w:rFonts w:ascii="Arial Nova" w:hAnsi="Arial Nova"/>
          <w:bCs/>
          <w:sz w:val="24"/>
          <w:szCs w:val="24"/>
        </w:rPr>
        <w:t>Evaluation Budget FY 2018-19 to FY 2021-22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885"/>
        <w:gridCol w:w="1530"/>
        <w:gridCol w:w="1710"/>
        <w:gridCol w:w="1530"/>
        <w:gridCol w:w="1710"/>
      </w:tblGrid>
      <w:tr w:rsidR="005746B8" w:rsidTr="00407B50">
        <w:tc>
          <w:tcPr>
            <w:tcW w:w="1885" w:type="dxa"/>
          </w:tcPr>
          <w:p w:rsidR="005746B8" w:rsidRPr="005746B8" w:rsidRDefault="005746B8" w:rsidP="005746B8">
            <w:pPr>
              <w:jc w:val="center"/>
              <w:rPr>
                <w:rFonts w:ascii="Arial Nova" w:hAnsi="Arial Nova"/>
                <w:b/>
                <w:bCs/>
              </w:rPr>
            </w:pPr>
            <w:r w:rsidRPr="005746B8">
              <w:rPr>
                <w:rFonts w:ascii="Arial Nova" w:hAnsi="Arial Nova"/>
                <w:b/>
                <w:bCs/>
              </w:rPr>
              <w:t>Total Budget</w:t>
            </w:r>
          </w:p>
        </w:tc>
        <w:tc>
          <w:tcPr>
            <w:tcW w:w="1530" w:type="dxa"/>
          </w:tcPr>
          <w:p w:rsidR="005746B8" w:rsidRPr="006F2DD6" w:rsidRDefault="005746B8" w:rsidP="005746B8">
            <w:pPr>
              <w:jc w:val="center"/>
              <w:rPr>
                <w:rFonts w:ascii="Arial Nova" w:hAnsi="Arial Nova"/>
                <w:b/>
              </w:rPr>
            </w:pPr>
            <w:r>
              <w:rPr>
                <w:rFonts w:ascii="Arial Nova" w:hAnsi="Arial Nova"/>
              </w:rPr>
              <w:t>FY 2018 - 19</w:t>
            </w:r>
          </w:p>
        </w:tc>
        <w:tc>
          <w:tcPr>
            <w:tcW w:w="1710" w:type="dxa"/>
          </w:tcPr>
          <w:p w:rsidR="005746B8" w:rsidRPr="006F2DD6" w:rsidRDefault="005746B8" w:rsidP="005746B8">
            <w:pPr>
              <w:jc w:val="center"/>
              <w:rPr>
                <w:rFonts w:ascii="Arial Nova" w:hAnsi="Arial Nova"/>
                <w:b/>
              </w:rPr>
            </w:pPr>
            <w:r>
              <w:rPr>
                <w:rFonts w:ascii="Arial Nova" w:hAnsi="Arial Nova"/>
              </w:rPr>
              <w:t>FY 2019 - 20</w:t>
            </w:r>
          </w:p>
        </w:tc>
        <w:tc>
          <w:tcPr>
            <w:tcW w:w="1530" w:type="dxa"/>
          </w:tcPr>
          <w:p w:rsidR="005746B8" w:rsidRPr="006F2DD6" w:rsidRDefault="005746B8" w:rsidP="005746B8">
            <w:pPr>
              <w:jc w:val="center"/>
              <w:rPr>
                <w:rFonts w:ascii="Arial Nova" w:hAnsi="Arial Nova"/>
                <w:b/>
              </w:rPr>
            </w:pPr>
            <w:r>
              <w:rPr>
                <w:rFonts w:ascii="Arial Nova" w:hAnsi="Arial Nova"/>
              </w:rPr>
              <w:t>FY 2020 - 21</w:t>
            </w:r>
          </w:p>
        </w:tc>
        <w:tc>
          <w:tcPr>
            <w:tcW w:w="1710" w:type="dxa"/>
          </w:tcPr>
          <w:p w:rsidR="005746B8" w:rsidRPr="006F2DD6" w:rsidRDefault="005746B8" w:rsidP="005746B8">
            <w:pPr>
              <w:jc w:val="center"/>
              <w:rPr>
                <w:rFonts w:ascii="Arial Nova" w:hAnsi="Arial Nova"/>
                <w:b/>
              </w:rPr>
            </w:pPr>
            <w:r>
              <w:rPr>
                <w:rFonts w:ascii="Arial Nova" w:hAnsi="Arial Nova"/>
              </w:rPr>
              <w:t>FY 2021 - 22</w:t>
            </w:r>
          </w:p>
        </w:tc>
      </w:tr>
      <w:tr w:rsidR="005746B8" w:rsidTr="00407B50">
        <w:tc>
          <w:tcPr>
            <w:tcW w:w="1885" w:type="dxa"/>
          </w:tcPr>
          <w:p w:rsidR="005746B8" w:rsidRPr="005746B8" w:rsidRDefault="005746B8" w:rsidP="005746B8">
            <w:pPr>
              <w:jc w:val="center"/>
              <w:rPr>
                <w:rFonts w:ascii="Arial Nova" w:hAnsi="Arial Nova"/>
                <w:b/>
                <w:bCs/>
              </w:rPr>
            </w:pPr>
            <w:r w:rsidRPr="005746B8">
              <w:rPr>
                <w:rFonts w:ascii="Arial Nova" w:hAnsi="Arial Nova"/>
                <w:b/>
                <w:bCs/>
              </w:rPr>
              <w:t>$37,799.00</w:t>
            </w:r>
          </w:p>
        </w:tc>
        <w:tc>
          <w:tcPr>
            <w:tcW w:w="1530" w:type="dxa"/>
          </w:tcPr>
          <w:p w:rsidR="005746B8" w:rsidRDefault="005746B8" w:rsidP="005746B8">
            <w:pPr>
              <w:jc w:val="center"/>
              <w:rPr>
                <w:rFonts w:ascii="Arial Nova" w:hAnsi="Arial Nova"/>
              </w:rPr>
            </w:pPr>
            <w:r>
              <w:rPr>
                <w:rFonts w:ascii="Arial Nova" w:hAnsi="Arial Nova"/>
              </w:rPr>
              <w:t>$13,631.00</w:t>
            </w:r>
          </w:p>
        </w:tc>
        <w:tc>
          <w:tcPr>
            <w:tcW w:w="1710" w:type="dxa"/>
          </w:tcPr>
          <w:p w:rsidR="005746B8" w:rsidRDefault="005746B8" w:rsidP="005746B8">
            <w:pPr>
              <w:jc w:val="center"/>
              <w:rPr>
                <w:rFonts w:ascii="Arial Nova" w:hAnsi="Arial Nova"/>
              </w:rPr>
            </w:pPr>
            <w:r w:rsidRPr="006C5EE5">
              <w:rPr>
                <w:rFonts w:ascii="Arial Nova" w:hAnsi="Arial Nova"/>
              </w:rPr>
              <w:t>$8,056.00</w:t>
            </w:r>
          </w:p>
        </w:tc>
        <w:tc>
          <w:tcPr>
            <w:tcW w:w="1530" w:type="dxa"/>
          </w:tcPr>
          <w:p w:rsidR="005746B8" w:rsidRDefault="005746B8" w:rsidP="005746B8">
            <w:pPr>
              <w:jc w:val="center"/>
              <w:rPr>
                <w:rFonts w:ascii="Arial Nova" w:hAnsi="Arial Nova"/>
              </w:rPr>
            </w:pPr>
            <w:r w:rsidRPr="006C5EE5">
              <w:rPr>
                <w:rFonts w:ascii="Arial Nova" w:hAnsi="Arial Nova"/>
              </w:rPr>
              <w:t>$8,056.00</w:t>
            </w:r>
          </w:p>
        </w:tc>
        <w:tc>
          <w:tcPr>
            <w:tcW w:w="1710" w:type="dxa"/>
          </w:tcPr>
          <w:p w:rsidR="005746B8" w:rsidRDefault="005746B8" w:rsidP="005746B8">
            <w:pPr>
              <w:jc w:val="center"/>
              <w:rPr>
                <w:rFonts w:ascii="Arial Nova" w:hAnsi="Arial Nova"/>
              </w:rPr>
            </w:pPr>
            <w:r w:rsidRPr="006C5EE5">
              <w:rPr>
                <w:rFonts w:ascii="Arial Nova" w:hAnsi="Arial Nova"/>
              </w:rPr>
              <w:t>$8,056.00</w:t>
            </w:r>
          </w:p>
        </w:tc>
      </w:tr>
    </w:tbl>
    <w:p w:rsidR="00D70F56" w:rsidRDefault="00D70F56" w:rsidP="00D70F56">
      <w:pPr>
        <w:rPr>
          <w:rFonts w:ascii="Arial Nova" w:hAnsi="Arial Nova"/>
        </w:rPr>
      </w:pPr>
    </w:p>
    <w:p w:rsidR="005E7748" w:rsidRPr="0076542A" w:rsidRDefault="005E7748" w:rsidP="0076542A">
      <w:pPr>
        <w:pStyle w:val="Heading2"/>
      </w:pPr>
      <w:bookmarkStart w:id="7" w:name="_Toc11741526"/>
      <w:r w:rsidRPr="0076542A">
        <w:t>Section 2: Description of the LOHP</w:t>
      </w:r>
      <w:bookmarkEnd w:id="7"/>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5E7748" w:rsidTr="00250F2A">
        <w:trPr>
          <w:trHeight w:hRule="exact" w:val="72"/>
        </w:trPr>
        <w:tc>
          <w:tcPr>
            <w:tcW w:w="9350" w:type="dxa"/>
          </w:tcPr>
          <w:p w:rsidR="005E7748" w:rsidRDefault="005E7748" w:rsidP="00250F2A">
            <w:pPr>
              <w:rPr>
                <w:rFonts w:ascii="Arial Nova" w:hAnsi="Arial Nova"/>
                <w:sz w:val="32"/>
                <w:szCs w:val="32"/>
              </w:rPr>
            </w:pPr>
          </w:p>
        </w:tc>
      </w:tr>
    </w:tbl>
    <w:p w:rsidR="00954A09" w:rsidRDefault="00954A09" w:rsidP="0076542A">
      <w:pPr>
        <w:pStyle w:val="Heading2"/>
      </w:pPr>
      <w:bookmarkStart w:id="8" w:name="_Toc11741527"/>
      <w:r w:rsidRPr="00372382">
        <w:t>Program Overview</w:t>
      </w:r>
      <w:bookmarkEnd w:id="8"/>
    </w:p>
    <w:p w:rsidR="00AC2840" w:rsidRPr="00DB677C" w:rsidRDefault="00AC2840" w:rsidP="00DB677C">
      <w:pPr>
        <w:rPr>
          <w:rFonts w:ascii="Arial" w:hAnsi="Arial" w:cs="Arial"/>
          <w:sz w:val="24"/>
          <w:szCs w:val="24"/>
        </w:rPr>
      </w:pPr>
      <w:r w:rsidRPr="00DB677C">
        <w:rPr>
          <w:rFonts w:ascii="Arial" w:hAnsi="Arial" w:cs="Arial"/>
          <w:sz w:val="24"/>
          <w:szCs w:val="24"/>
        </w:rPr>
        <w:t xml:space="preserve">The vision of the Kings County Oral Health Program is </w:t>
      </w:r>
      <w:r w:rsidR="00A25F4A">
        <w:rPr>
          <w:rFonts w:ascii="Arial" w:hAnsi="Arial" w:cs="Arial"/>
          <w:sz w:val="24"/>
          <w:szCs w:val="24"/>
        </w:rPr>
        <w:t xml:space="preserve">(1) </w:t>
      </w:r>
      <w:r w:rsidRPr="00DB677C">
        <w:rPr>
          <w:rFonts w:ascii="Arial" w:hAnsi="Arial" w:cs="Arial"/>
          <w:sz w:val="24"/>
          <w:szCs w:val="24"/>
        </w:rPr>
        <w:t xml:space="preserve">for all families in Kings County to have the resources they need to prevent oral disease, </w:t>
      </w:r>
      <w:r w:rsidR="00A25F4A">
        <w:rPr>
          <w:rFonts w:ascii="Arial" w:hAnsi="Arial" w:cs="Arial"/>
          <w:sz w:val="24"/>
          <w:szCs w:val="24"/>
        </w:rPr>
        <w:t xml:space="preserve">(2) </w:t>
      </w:r>
      <w:r w:rsidRPr="00DB677C">
        <w:rPr>
          <w:rFonts w:ascii="Arial" w:hAnsi="Arial" w:cs="Arial"/>
          <w:sz w:val="24"/>
          <w:szCs w:val="24"/>
        </w:rPr>
        <w:t xml:space="preserve">for all children and youth in Kings County to have a dental home that provides both preventive and comprehensive restorative care, </w:t>
      </w:r>
      <w:r w:rsidR="00946C1B" w:rsidRPr="00DB677C">
        <w:rPr>
          <w:rFonts w:ascii="Arial" w:hAnsi="Arial" w:cs="Arial"/>
          <w:sz w:val="24"/>
          <w:szCs w:val="24"/>
        </w:rPr>
        <w:t xml:space="preserve">and </w:t>
      </w:r>
      <w:r w:rsidR="00A25F4A">
        <w:rPr>
          <w:rFonts w:ascii="Arial" w:hAnsi="Arial" w:cs="Arial"/>
          <w:sz w:val="24"/>
          <w:szCs w:val="24"/>
        </w:rPr>
        <w:t xml:space="preserve">(3) </w:t>
      </w:r>
      <w:r w:rsidRPr="00DB677C">
        <w:rPr>
          <w:rFonts w:ascii="Arial" w:hAnsi="Arial" w:cs="Arial"/>
          <w:sz w:val="24"/>
          <w:szCs w:val="24"/>
        </w:rPr>
        <w:t>for Kings County to have a coordinated infrastructure to promote oral health as an essential component of overall health.</w:t>
      </w:r>
    </w:p>
    <w:p w:rsidR="00954A09" w:rsidRPr="00372382" w:rsidRDefault="00AC2840" w:rsidP="00D209C5">
      <w:pPr>
        <w:pStyle w:val="Text"/>
      </w:pPr>
      <w:r w:rsidRPr="00372382">
        <w:t xml:space="preserve">The Kings County </w:t>
      </w:r>
      <w:r w:rsidR="00DB677C">
        <w:t xml:space="preserve">LOHP </w:t>
      </w:r>
      <w:r w:rsidRPr="00372382">
        <w:t xml:space="preserve">has identified </w:t>
      </w:r>
      <w:r w:rsidR="00946C1B" w:rsidRPr="00372382">
        <w:t>6</w:t>
      </w:r>
      <w:r w:rsidRPr="00372382">
        <w:t xml:space="preserve"> overarching program goals </w:t>
      </w:r>
      <w:r w:rsidR="00946C1B" w:rsidRPr="00372382">
        <w:t xml:space="preserve">and 15 related objectives </w:t>
      </w:r>
      <w:r w:rsidRPr="00372382">
        <w:t>addressing oral health prevention, access to dental care</w:t>
      </w:r>
      <w:r w:rsidR="00946C1B" w:rsidRPr="00372382">
        <w:t>,</w:t>
      </w:r>
      <w:r w:rsidRPr="00372382">
        <w:t xml:space="preserve"> and infrastructure development. </w:t>
      </w:r>
      <w:r w:rsidR="00946C1B" w:rsidRPr="00372382">
        <w:t>Specific goals and objectives for the program are listed below:</w:t>
      </w:r>
    </w:p>
    <w:p w:rsidR="00946C1B" w:rsidRPr="00372382" w:rsidRDefault="00946C1B" w:rsidP="00D209C5">
      <w:pPr>
        <w:pStyle w:val="Text"/>
      </w:pPr>
      <w:r w:rsidRPr="00372382">
        <w:rPr>
          <w:b/>
        </w:rPr>
        <w:t xml:space="preserve">Goal 1: </w:t>
      </w:r>
      <w:r w:rsidRPr="00372382">
        <w:rPr>
          <w:b/>
          <w:bCs/>
        </w:rPr>
        <w:t>Implement evidence-based age, culturally and needs-appropriate oral disease prevention services in a variety of community settings including topical fluoride programs and school-based, school-linked dental sealant programs</w:t>
      </w:r>
      <w:r w:rsidRPr="00372382">
        <w:t>.</w:t>
      </w:r>
    </w:p>
    <w:p w:rsidR="00946C1B" w:rsidRPr="00372382" w:rsidRDefault="00946C1B" w:rsidP="007D27D0">
      <w:pPr>
        <w:pStyle w:val="Text"/>
        <w:ind w:left="360"/>
      </w:pPr>
      <w:r w:rsidRPr="00372382">
        <w:t xml:space="preserve">Objective 1: Establish at least three topical fluoride community programs in schools, early childhood centers and WIC by the end of 2020, and increase the number of children receiving topical fluoride in community programs </w:t>
      </w:r>
      <w:r w:rsidR="00F94A62">
        <w:t>to 500 by the end of 2022.</w:t>
      </w:r>
    </w:p>
    <w:p w:rsidR="00946C1B" w:rsidRPr="00372382" w:rsidRDefault="00946C1B" w:rsidP="007D27D0">
      <w:pPr>
        <w:pStyle w:val="Text"/>
        <w:ind w:left="360"/>
      </w:pPr>
      <w:r w:rsidRPr="00372382">
        <w:t>Objective 2: Increase the number of children receiving fluoride varnish from a non-dental health professional by 10% by the end of 2020, and 5% more annually over the next two years.</w:t>
      </w:r>
    </w:p>
    <w:p w:rsidR="00946C1B" w:rsidRPr="00372382" w:rsidRDefault="00946C1B" w:rsidP="007D27D0">
      <w:pPr>
        <w:pStyle w:val="Text"/>
        <w:ind w:left="360"/>
      </w:pPr>
      <w:r w:rsidRPr="00372382">
        <w:t>Objective 3: Establish daily fluoride toothbrushing programs in at least half of the California State Preschool sites</w:t>
      </w:r>
      <w:r w:rsidR="00F94A62">
        <w:t xml:space="preserve"> (n=4)</w:t>
      </w:r>
      <w:r w:rsidRPr="00372382">
        <w:t xml:space="preserve"> in Kings County by September 2020, with all sites having programs by September 2021</w:t>
      </w:r>
      <w:r w:rsidR="00F94A62">
        <w:t xml:space="preserve"> (n=8)</w:t>
      </w:r>
      <w:r w:rsidRPr="00372382">
        <w:t>.</w:t>
      </w:r>
    </w:p>
    <w:p w:rsidR="00946C1B" w:rsidRPr="00372382" w:rsidRDefault="00946C1B" w:rsidP="007D27D0">
      <w:pPr>
        <w:pStyle w:val="Text"/>
        <w:ind w:left="360"/>
      </w:pPr>
      <w:r w:rsidRPr="00372382">
        <w:t>Objective 4: Establish school-based or school-linked dental sealant programs in at least one school by September 2020, with an additional one school annually for the following two years.</w:t>
      </w:r>
    </w:p>
    <w:p w:rsidR="00946C1B" w:rsidRPr="00372382" w:rsidRDefault="00946C1B" w:rsidP="007D27D0">
      <w:pPr>
        <w:pStyle w:val="Text"/>
        <w:ind w:left="360"/>
      </w:pPr>
      <w:r w:rsidRPr="00372382">
        <w:t xml:space="preserve">Objective 5: (Outcome Measure): Reduce the percentage of </w:t>
      </w:r>
      <w:bookmarkStart w:id="9" w:name="OLE_LINK17"/>
      <w:bookmarkStart w:id="10" w:name="OLE_LINK18"/>
      <w:r w:rsidRPr="00372382">
        <w:t xml:space="preserve">children (pre-kindergarten, entering students and 3rd grade) </w:t>
      </w:r>
      <w:bookmarkEnd w:id="9"/>
      <w:bookmarkEnd w:id="10"/>
      <w:r w:rsidRPr="00372382">
        <w:t xml:space="preserve">with decay experience by 3% by June 2022. </w:t>
      </w:r>
    </w:p>
    <w:p w:rsidR="00946C1B" w:rsidRPr="00372382" w:rsidRDefault="00946C1B" w:rsidP="00D209C5">
      <w:pPr>
        <w:pStyle w:val="Text"/>
        <w:rPr>
          <w:b/>
        </w:rPr>
      </w:pPr>
      <w:r w:rsidRPr="00372382">
        <w:rPr>
          <w:b/>
        </w:rPr>
        <w:t>Goal 2:</w:t>
      </w:r>
      <w:r w:rsidR="00AF105C">
        <w:rPr>
          <w:b/>
        </w:rPr>
        <w:t xml:space="preserve">  </w:t>
      </w:r>
      <w:r w:rsidRPr="00372382">
        <w:rPr>
          <w:b/>
        </w:rPr>
        <w:t>Provide parents/caregivers and their children with recurring oral health education and anticipatory guidance to prevent tooth decay that is developmentally, age, culturally and needs appropriate.</w:t>
      </w:r>
    </w:p>
    <w:p w:rsidR="00946C1B" w:rsidRPr="00372382" w:rsidRDefault="00946C1B" w:rsidP="007D27D0">
      <w:pPr>
        <w:pStyle w:val="Text"/>
        <w:ind w:left="360"/>
      </w:pPr>
      <w:bookmarkStart w:id="11" w:name="OLE_LINK7"/>
      <w:r w:rsidRPr="00372382">
        <w:t xml:space="preserve">Objective 6: Establish at least three public health, school or community-based programs to provide </w:t>
      </w:r>
      <w:bookmarkStart w:id="12" w:name="OLE_LINK8"/>
      <w:bookmarkStart w:id="13" w:name="OLE_LINK9"/>
      <w:r w:rsidRPr="00372382">
        <w:t xml:space="preserve">oral health education </w:t>
      </w:r>
      <w:bookmarkEnd w:id="12"/>
      <w:bookmarkEnd w:id="13"/>
      <w:r w:rsidRPr="00372382">
        <w:t>to children and their parents by September 2020 and increase the number of persons receiving education by 5% annually for the next two years.</w:t>
      </w:r>
    </w:p>
    <w:p w:rsidR="00946C1B" w:rsidRPr="00372382" w:rsidRDefault="00946C1B" w:rsidP="00D209C5">
      <w:pPr>
        <w:pStyle w:val="Text"/>
        <w:rPr>
          <w:b/>
        </w:rPr>
      </w:pPr>
      <w:bookmarkStart w:id="14" w:name="OLE_LINK13"/>
      <w:bookmarkStart w:id="15" w:name="OLE_LINK14"/>
      <w:bookmarkEnd w:id="11"/>
      <w:r w:rsidRPr="00372382">
        <w:rPr>
          <w:b/>
        </w:rPr>
        <w:t>Goal 3:</w:t>
      </w:r>
      <w:r w:rsidR="00AF105C">
        <w:rPr>
          <w:b/>
        </w:rPr>
        <w:t xml:space="preserve"> </w:t>
      </w:r>
      <w:r w:rsidRPr="00372382">
        <w:rPr>
          <w:b/>
        </w:rPr>
        <w:t>Partner with schools to ensure that all incoming students receive oral health screenings and appropriate referrals.</w:t>
      </w:r>
    </w:p>
    <w:p w:rsidR="00946C1B" w:rsidRPr="00372382" w:rsidRDefault="00946C1B" w:rsidP="007D27D0">
      <w:pPr>
        <w:pStyle w:val="Text"/>
        <w:ind w:left="360"/>
      </w:pPr>
      <w:r w:rsidRPr="00372382">
        <w:t xml:space="preserve">Objective </w:t>
      </w:r>
      <w:r w:rsidR="00F94A62">
        <w:t>7</w:t>
      </w:r>
      <w:r w:rsidRPr="00372382">
        <w:t xml:space="preserve">: Establish school-based oral health screening and referral programs in five low-income (&gt; 50% NSLP participation) elementary schools by September 2020, with an additional two schools annually for the following two years.  </w:t>
      </w:r>
    </w:p>
    <w:p w:rsidR="00946C1B" w:rsidRPr="00372382" w:rsidRDefault="00946C1B" w:rsidP="007D27D0">
      <w:pPr>
        <w:pStyle w:val="Text"/>
        <w:ind w:left="360"/>
      </w:pPr>
      <w:bookmarkStart w:id="16" w:name="OLE_LINK23"/>
      <w:bookmarkStart w:id="17" w:name="OLE_LINK24"/>
      <w:bookmarkStart w:id="18" w:name="OLE_LINK15"/>
      <w:bookmarkStart w:id="19" w:name="OLE_LINK16"/>
      <w:bookmarkStart w:id="20" w:name="OLE_LINK10"/>
      <w:r w:rsidRPr="00372382">
        <w:t xml:space="preserve">Objective </w:t>
      </w:r>
      <w:r w:rsidR="00F94A62">
        <w:t>8</w:t>
      </w:r>
      <w:r w:rsidRPr="00372382">
        <w:t xml:space="preserve">: Increase the number of school districts submitting data for the Kindergarten Oral Health Assessment (KOHA) by two districts </w:t>
      </w:r>
      <w:r w:rsidR="00F94A62">
        <w:t>for 2019-20 school year</w:t>
      </w:r>
      <w:r w:rsidRPr="00372382">
        <w:t xml:space="preserve">, with </w:t>
      </w:r>
      <w:r w:rsidR="00F94A62">
        <w:t>all districts by 2021-22 school year</w:t>
      </w:r>
      <w:r w:rsidRPr="00372382">
        <w:t xml:space="preserve">. </w:t>
      </w:r>
    </w:p>
    <w:bookmarkEnd w:id="16"/>
    <w:bookmarkEnd w:id="17"/>
    <w:p w:rsidR="00946C1B" w:rsidRPr="00372382" w:rsidRDefault="00946C1B" w:rsidP="007D27D0">
      <w:pPr>
        <w:pStyle w:val="Text"/>
        <w:ind w:left="360"/>
      </w:pPr>
      <w:r w:rsidRPr="00372382">
        <w:t xml:space="preserve">Objective </w:t>
      </w:r>
      <w:r w:rsidR="00F94A62">
        <w:t>9</w:t>
      </w:r>
      <w:r w:rsidRPr="00372382">
        <w:t xml:space="preserve">: Increase the number of children receiving a Kindergarten Oral Health Assessment (KOHA) by 20% by September 2020, with an additional 10% districts each year for the following two years. </w:t>
      </w:r>
    </w:p>
    <w:bookmarkEnd w:id="18"/>
    <w:bookmarkEnd w:id="19"/>
    <w:bookmarkEnd w:id="20"/>
    <w:p w:rsidR="00946C1B" w:rsidRPr="00372382" w:rsidRDefault="00946C1B" w:rsidP="00D209C5">
      <w:pPr>
        <w:pStyle w:val="Text"/>
        <w:rPr>
          <w:b/>
        </w:rPr>
      </w:pPr>
      <w:r w:rsidRPr="00372382">
        <w:rPr>
          <w:b/>
        </w:rPr>
        <w:t>Goal 4:</w:t>
      </w:r>
      <w:r w:rsidR="00AF105C">
        <w:rPr>
          <w:b/>
        </w:rPr>
        <w:t xml:space="preserve"> </w:t>
      </w:r>
      <w:r w:rsidRPr="00372382">
        <w:rPr>
          <w:b/>
        </w:rPr>
        <w:t>Target pregnant women to receive appropriate dental care and education to optimize oral and overall health for themselves and their children.</w:t>
      </w:r>
    </w:p>
    <w:p w:rsidR="00946C1B" w:rsidRPr="00372382" w:rsidRDefault="00946C1B" w:rsidP="007D27D0">
      <w:pPr>
        <w:pStyle w:val="Text"/>
        <w:ind w:left="360"/>
      </w:pPr>
      <w:r w:rsidRPr="00372382">
        <w:t xml:space="preserve">Objective </w:t>
      </w:r>
      <w:r w:rsidR="00F94A62">
        <w:t>10: Develop and implement educational material and programs for pregnant women and health and dental providers on importance of maternal oral health care by June 2020.</w:t>
      </w:r>
    </w:p>
    <w:bookmarkEnd w:id="14"/>
    <w:bookmarkEnd w:id="15"/>
    <w:p w:rsidR="00946C1B" w:rsidRPr="00372382" w:rsidRDefault="00946C1B" w:rsidP="00D209C5">
      <w:pPr>
        <w:pStyle w:val="Text"/>
        <w:rPr>
          <w:b/>
        </w:rPr>
      </w:pPr>
      <w:r w:rsidRPr="00372382">
        <w:rPr>
          <w:b/>
        </w:rPr>
        <w:t>Goal 5:</w:t>
      </w:r>
      <w:r w:rsidR="00AF105C">
        <w:rPr>
          <w:b/>
        </w:rPr>
        <w:t xml:space="preserve"> </w:t>
      </w:r>
      <w:r w:rsidRPr="00372382">
        <w:rPr>
          <w:b/>
        </w:rPr>
        <w:t>Improve access to affordable dental care in order to increase use of dental services and reduce untreated decay among vulnerable populations.</w:t>
      </w:r>
    </w:p>
    <w:p w:rsidR="00946C1B" w:rsidRPr="00372382" w:rsidRDefault="00946C1B" w:rsidP="007D27D0">
      <w:pPr>
        <w:pStyle w:val="Text"/>
        <w:ind w:left="360"/>
      </w:pPr>
      <w:r w:rsidRPr="00372382">
        <w:t>Objective 1</w:t>
      </w:r>
      <w:r w:rsidR="00F94A62">
        <w:t>1</w:t>
      </w:r>
      <w:r w:rsidRPr="00372382">
        <w:t xml:space="preserve">: Increase the percentage of children on Medi-Cal Dental with an annual dental visit by 10% by June 2022 for all children, and by 5% for children aged 1-2 years. </w:t>
      </w:r>
    </w:p>
    <w:p w:rsidR="00946C1B" w:rsidRPr="00372382" w:rsidRDefault="00946C1B" w:rsidP="007D27D0">
      <w:pPr>
        <w:pStyle w:val="Text"/>
        <w:ind w:left="360"/>
      </w:pPr>
      <w:r w:rsidRPr="00372382">
        <w:t>Objective 1</w:t>
      </w:r>
      <w:r w:rsidR="00F94A62">
        <w:t>2</w:t>
      </w:r>
      <w:r w:rsidRPr="00372382">
        <w:t xml:space="preserve">: (Outcome Measure): Reduce the percentage of children (pre-kindergarten, entering students and 3rd grade) with untreated tooth decay by 10% by June 2022. </w:t>
      </w:r>
    </w:p>
    <w:p w:rsidR="00946C1B" w:rsidRPr="00372382" w:rsidRDefault="00946C1B" w:rsidP="00D209C5">
      <w:pPr>
        <w:pStyle w:val="Text"/>
        <w:rPr>
          <w:b/>
        </w:rPr>
      </w:pPr>
      <w:r w:rsidRPr="00372382">
        <w:rPr>
          <w:b/>
        </w:rPr>
        <w:t>Goal 6: Establish an Oral Health Program in the Public Health Department and sustain the Oral Health Coalition and other oral health partnerships, coalitions and initiatives to achieve the goals of this Community Plan.</w:t>
      </w:r>
    </w:p>
    <w:p w:rsidR="00946C1B" w:rsidRPr="00372382" w:rsidRDefault="00946C1B" w:rsidP="007D27D0">
      <w:pPr>
        <w:pStyle w:val="Text"/>
        <w:ind w:left="360"/>
      </w:pPr>
      <w:r w:rsidRPr="00372382">
        <w:t>Objective 1</w:t>
      </w:r>
      <w:r w:rsidR="00F94A62">
        <w:t>3</w:t>
      </w:r>
      <w:r w:rsidRPr="00372382">
        <w:t>: Develop and implement an oral health surveillance system (disease prevention, coverage, utilization and outcomes) and report data regularly.</w:t>
      </w:r>
      <w:r w:rsidR="00F94A62">
        <w:t xml:space="preserve"> (State Goal 5)</w:t>
      </w:r>
    </w:p>
    <w:p w:rsidR="00946C1B" w:rsidRPr="00372382" w:rsidRDefault="00946C1B" w:rsidP="007D27D0">
      <w:pPr>
        <w:pStyle w:val="Text"/>
        <w:ind w:left="360"/>
      </w:pPr>
      <w:r w:rsidRPr="00372382">
        <w:t>Objective 1</w:t>
      </w:r>
      <w:r w:rsidR="00F94A62">
        <w:t>4</w:t>
      </w:r>
      <w:r w:rsidRPr="00372382">
        <w:t>: Maintain a fully staffed county oral health program and Oral Health Coalition in Kings County</w:t>
      </w:r>
      <w:r w:rsidR="00F94A62">
        <w:t xml:space="preserve"> to work in partnerships across sectors to implement the Oral Health Improvement Plan</w:t>
      </w:r>
      <w:r w:rsidRPr="00372382">
        <w:t>.</w:t>
      </w:r>
      <w:r w:rsidRPr="00372382" w:rsidDel="008A3336">
        <w:t xml:space="preserve"> </w:t>
      </w:r>
    </w:p>
    <w:p w:rsidR="00946C1B" w:rsidRPr="00372382" w:rsidRDefault="00946C1B" w:rsidP="0076542A">
      <w:pPr>
        <w:pStyle w:val="Heading2"/>
      </w:pPr>
      <w:bookmarkStart w:id="21" w:name="_Toc11741528"/>
      <w:r w:rsidRPr="00372382">
        <w:t xml:space="preserve">Program </w:t>
      </w:r>
      <w:bookmarkStart w:id="22" w:name="_Toc11741529"/>
      <w:r w:rsidR="008C774F" w:rsidRPr="005A6902">
        <w:t>Context</w:t>
      </w:r>
      <w:bookmarkEnd w:id="22"/>
      <w:r w:rsidR="008C774F">
        <w:t xml:space="preserve"> and </w:t>
      </w:r>
      <w:r w:rsidRPr="00372382">
        <w:t>Need</w:t>
      </w:r>
      <w:bookmarkEnd w:id="21"/>
    </w:p>
    <w:p w:rsidR="00954A09" w:rsidRPr="00372382" w:rsidRDefault="00954A09" w:rsidP="00D209C5">
      <w:pPr>
        <w:pStyle w:val="Text"/>
      </w:pPr>
      <w:r w:rsidRPr="00372382">
        <w:t>Kings County</w:t>
      </w:r>
      <w:r w:rsidR="00D3481D">
        <w:t xml:space="preserve"> is </w:t>
      </w:r>
      <w:r w:rsidRPr="00372382">
        <w:t>located in California’s San Joaquin Valley</w:t>
      </w:r>
      <w:r w:rsidR="00D3481D">
        <w:t>. It</w:t>
      </w:r>
      <w:r w:rsidRPr="00372382">
        <w:t xml:space="preserve"> has a land area of approximately 1,390 square miles, four incorporated cities (Avenal, Corcoran, Hanford and Lemoore), and a population of about 150,000</w:t>
      </w:r>
      <w:r w:rsidR="00D3481D">
        <w:t xml:space="preserve"> people</w:t>
      </w:r>
      <w:r w:rsidR="008C774F" w:rsidRPr="008C774F">
        <w:t>.</w:t>
      </w:r>
      <w:r w:rsidRPr="008C774F">
        <w:rPr>
          <w:vertAlign w:val="superscript"/>
        </w:rPr>
        <w:footnoteReference w:id="1"/>
      </w:r>
      <w:r w:rsidRPr="00372382">
        <w:t xml:space="preserve"> Agriculture, which relies on low-wage workers, plays an important role in the County’s economy as does </w:t>
      </w:r>
      <w:r w:rsidR="008C774F">
        <w:t xml:space="preserve">the </w:t>
      </w:r>
      <w:r w:rsidR="008C774F" w:rsidRPr="00372382">
        <w:t xml:space="preserve">Lemoore </w:t>
      </w:r>
      <w:r w:rsidRPr="00372382">
        <w:t>Naval Air Station and the California Department of Corrections and Rehabilitation</w:t>
      </w:r>
      <w:r w:rsidR="008C774F">
        <w:t>,</w:t>
      </w:r>
      <w:r w:rsidRPr="00372382">
        <w:t> which operates three state prisons in Kings County.</w:t>
      </w:r>
      <w:r w:rsidR="00E42C2D">
        <w:t xml:space="preserve"> </w:t>
      </w:r>
      <w:r w:rsidRPr="00372382">
        <w:t xml:space="preserve">Countywide, the population is 32% non-Hispanic white and 55% Hispanic, compared to 37% and 39% respectively for California. The median household income of $47,241 is substantially lower than the state average and a higher percentage of the population lives below the federal poverty level (17% vs. 14%). One of the greatest challenges facing California is the high cost of housing. The median value of an owner-occupied home in Kings County is $172,000 and the median gross rent is almost $900/month. </w:t>
      </w:r>
    </w:p>
    <w:p w:rsidR="00372F7D" w:rsidRDefault="008C774F" w:rsidP="00D209C5">
      <w:pPr>
        <w:pStyle w:val="Text"/>
      </w:pPr>
      <w:r>
        <w:t>P</w:t>
      </w:r>
      <w:r w:rsidRPr="00372F7D">
        <w:t>rior to implementation of the LOHP grant</w:t>
      </w:r>
      <w:r>
        <w:t>,</w:t>
      </w:r>
      <w:r w:rsidRPr="00372F7D">
        <w:t xml:space="preserve"> </w:t>
      </w:r>
      <w:r w:rsidR="00372F7D" w:rsidRPr="00372F7D">
        <w:t xml:space="preserve">Kings County did not have any existing oral health prevention infrastructure. </w:t>
      </w:r>
    </w:p>
    <w:p w:rsidR="006F3E63" w:rsidRPr="00372382" w:rsidRDefault="006F3E63" w:rsidP="00D209C5">
      <w:pPr>
        <w:pStyle w:val="Text"/>
        <w:numPr>
          <w:ilvl w:val="0"/>
          <w:numId w:val="9"/>
        </w:numPr>
        <w:rPr>
          <w:rFonts w:cstheme="minorBidi"/>
        </w:rPr>
      </w:pPr>
      <w:r w:rsidRPr="00372382">
        <w:rPr>
          <w:rFonts w:cstheme="minorBidi"/>
        </w:rPr>
        <w:t>Tooth decay is a significant problem for Kings County children.</w:t>
      </w:r>
      <w:r w:rsidR="008C774F">
        <w:rPr>
          <w:rFonts w:cstheme="minorBidi"/>
        </w:rPr>
        <w:t xml:space="preserve"> Kings County communities do not have fluoridated water systems and many communities lack access to safe drinking water.</w:t>
      </w:r>
    </w:p>
    <w:p w:rsidR="006F3E63" w:rsidRPr="00372382" w:rsidRDefault="006F3E63" w:rsidP="00D209C5">
      <w:pPr>
        <w:pStyle w:val="Text"/>
        <w:numPr>
          <w:ilvl w:val="0"/>
          <w:numId w:val="9"/>
        </w:numPr>
        <w:rPr>
          <w:rFonts w:cstheme="minorBidi"/>
        </w:rPr>
      </w:pPr>
      <w:r w:rsidRPr="00372382">
        <w:rPr>
          <w:rFonts w:cstheme="minorBidi"/>
        </w:rPr>
        <w:t xml:space="preserve">Most school districts do not report data for the </w:t>
      </w:r>
      <w:r w:rsidR="008C774F">
        <w:rPr>
          <w:rFonts w:cstheme="minorBidi"/>
        </w:rPr>
        <w:t>K</w:t>
      </w:r>
      <w:r w:rsidRPr="00372382">
        <w:rPr>
          <w:rFonts w:cstheme="minorBidi"/>
        </w:rPr>
        <w:t xml:space="preserve">indergarten </w:t>
      </w:r>
      <w:r w:rsidR="008C774F">
        <w:rPr>
          <w:rFonts w:cstheme="minorBidi"/>
        </w:rPr>
        <w:t>O</w:t>
      </w:r>
      <w:r w:rsidRPr="00372382">
        <w:rPr>
          <w:rFonts w:cstheme="minorBidi"/>
        </w:rPr>
        <w:t xml:space="preserve">ral </w:t>
      </w:r>
      <w:r w:rsidR="008C774F">
        <w:rPr>
          <w:rFonts w:cstheme="minorBidi"/>
        </w:rPr>
        <w:t>H</w:t>
      </w:r>
      <w:r w:rsidRPr="00372382">
        <w:rPr>
          <w:rFonts w:cstheme="minorBidi"/>
        </w:rPr>
        <w:t xml:space="preserve">ealth </w:t>
      </w:r>
      <w:r w:rsidR="008C774F">
        <w:rPr>
          <w:rFonts w:cstheme="minorBidi"/>
        </w:rPr>
        <w:t>A</w:t>
      </w:r>
      <w:r w:rsidRPr="00372382">
        <w:rPr>
          <w:rFonts w:cstheme="minorBidi"/>
        </w:rPr>
        <w:t>ssessment and many children do not receive an oral health assessment at school entry.</w:t>
      </w:r>
    </w:p>
    <w:p w:rsidR="006F3E63" w:rsidRPr="00372382" w:rsidRDefault="006F3E63" w:rsidP="00D209C5">
      <w:pPr>
        <w:pStyle w:val="Text"/>
        <w:numPr>
          <w:ilvl w:val="0"/>
          <w:numId w:val="9"/>
        </w:numPr>
        <w:rPr>
          <w:rFonts w:cstheme="minorBidi"/>
        </w:rPr>
      </w:pPr>
      <w:r w:rsidRPr="00372382">
        <w:rPr>
          <w:rFonts w:cstheme="minorBidi"/>
        </w:rPr>
        <w:t>Although childhood tooth decay is largely preventable, there are no community-based oral disease prevention programs in Kings County.</w:t>
      </w:r>
    </w:p>
    <w:p w:rsidR="006F3E63" w:rsidRPr="00372382" w:rsidRDefault="006F3E63" w:rsidP="00D209C5">
      <w:pPr>
        <w:pStyle w:val="Text"/>
        <w:numPr>
          <w:ilvl w:val="0"/>
          <w:numId w:val="9"/>
        </w:numPr>
        <w:rPr>
          <w:rFonts w:cstheme="minorBidi"/>
        </w:rPr>
      </w:pPr>
      <w:r w:rsidRPr="00372382">
        <w:rPr>
          <w:rFonts w:cstheme="minorBidi"/>
        </w:rPr>
        <w:t>Even though Kings County has an adequate number of dentists for the Medi-Cal population, most Medi-Cal enrollees in Kings County do not visit the dentist.</w:t>
      </w:r>
    </w:p>
    <w:p w:rsidR="006F3E63" w:rsidRPr="00372382" w:rsidRDefault="006F3E63" w:rsidP="00D209C5">
      <w:pPr>
        <w:pStyle w:val="Text"/>
        <w:numPr>
          <w:ilvl w:val="0"/>
          <w:numId w:val="9"/>
        </w:numPr>
        <w:rPr>
          <w:rFonts w:cstheme="minorBidi"/>
        </w:rPr>
      </w:pPr>
      <w:r w:rsidRPr="00372382">
        <w:rPr>
          <w:rFonts w:cstheme="minorBidi"/>
        </w:rPr>
        <w:t xml:space="preserve">Although oral </w:t>
      </w:r>
      <w:r w:rsidR="008C774F">
        <w:rPr>
          <w:rFonts w:cstheme="minorBidi"/>
        </w:rPr>
        <w:t xml:space="preserve">health </w:t>
      </w:r>
      <w:r w:rsidRPr="00372382">
        <w:rPr>
          <w:rFonts w:cstheme="minorBidi"/>
        </w:rPr>
        <w:t>problems during pregnancy are common, only four out of ten women report going to the dentist during pregnancy.</w:t>
      </w:r>
    </w:p>
    <w:p w:rsidR="00954A09" w:rsidRPr="005A6902" w:rsidRDefault="00954A09" w:rsidP="0076542A">
      <w:pPr>
        <w:pStyle w:val="Heading2"/>
      </w:pPr>
      <w:bookmarkStart w:id="23" w:name="_Toc11741530"/>
      <w:r w:rsidRPr="005A6902">
        <w:t>Target Population of the LOHP</w:t>
      </w:r>
      <w:bookmarkEnd w:id="23"/>
    </w:p>
    <w:p w:rsidR="00946C1B" w:rsidRPr="005A6902" w:rsidRDefault="00946C1B" w:rsidP="00D209C5">
      <w:pPr>
        <w:pStyle w:val="Text"/>
      </w:pPr>
      <w:r w:rsidRPr="005A6902">
        <w:t>The goals and objectives of the Kings County LOHP focus primarily on children and families, including pregnant women, preschool age children, school-age children and their parents and caregivers</w:t>
      </w:r>
      <w:r w:rsidR="008C774F">
        <w:t>, and providers who serve these populations</w:t>
      </w:r>
      <w:r w:rsidRPr="005A6902">
        <w:t xml:space="preserve">. </w:t>
      </w:r>
    </w:p>
    <w:p w:rsidR="002B7340" w:rsidRPr="005A6902" w:rsidRDefault="002B7340" w:rsidP="00D209C5">
      <w:pPr>
        <w:pStyle w:val="Text"/>
      </w:pPr>
      <w:r w:rsidRPr="005A6902">
        <w:t>Over the last several decades, significant progress has been made in the prevention, diagnosis, and treatment of oral diseases including tooth decay and gum diseases. Unfortunately, certain segments of the population continue to carry a disproportionate burden of disease with oral diseases remaining among the most common health problems that afflict disadvantaged and underserved communities. Oral health disparities and inequities continue to exist among low-income racial/ethnic minority groups, those residing in medically and dentally underserved rural and urban areas, and those with developmental or acquired disabilities, including frail and functionally dependent older adults.</w:t>
      </w:r>
      <w:r w:rsidRPr="008C774F">
        <w:rPr>
          <w:vertAlign w:val="superscript"/>
        </w:rPr>
        <w:footnoteReference w:id="2"/>
      </w:r>
      <w:r w:rsidRPr="008C774F">
        <w:rPr>
          <w:vertAlign w:val="superscript"/>
        </w:rPr>
        <w:t> </w:t>
      </w:r>
    </w:p>
    <w:p w:rsidR="002B7340" w:rsidRPr="005A6902" w:rsidRDefault="002B7340" w:rsidP="00D209C5">
      <w:pPr>
        <w:pStyle w:val="Text"/>
      </w:pPr>
      <w:r w:rsidRPr="005A6902">
        <w:rPr>
          <w:b/>
          <w:bCs/>
        </w:rPr>
        <w:t xml:space="preserve">Medi-Cal </w:t>
      </w:r>
      <w:r w:rsidR="00850682" w:rsidRPr="005A6902">
        <w:rPr>
          <w:b/>
          <w:bCs/>
        </w:rPr>
        <w:t>r</w:t>
      </w:r>
      <w:r w:rsidRPr="005A6902">
        <w:rPr>
          <w:b/>
          <w:bCs/>
        </w:rPr>
        <w:t>ecipients</w:t>
      </w:r>
      <w:r w:rsidR="00850682" w:rsidRPr="005A6902">
        <w:rPr>
          <w:b/>
          <w:bCs/>
        </w:rPr>
        <w:t>.</w:t>
      </w:r>
      <w:r w:rsidR="00850682" w:rsidRPr="005A6902">
        <w:t xml:space="preserve"> </w:t>
      </w:r>
      <w:r w:rsidRPr="005A6902">
        <w:t>Although only 17% of Kings County’s population lives below the F</w:t>
      </w:r>
      <w:r w:rsidR="008C774F">
        <w:t xml:space="preserve">ederal </w:t>
      </w:r>
      <w:r w:rsidRPr="005A6902">
        <w:t>P</w:t>
      </w:r>
      <w:r w:rsidR="008C774F">
        <w:t xml:space="preserve">overty </w:t>
      </w:r>
      <w:r w:rsidRPr="005A6902">
        <w:t>L</w:t>
      </w:r>
      <w:r w:rsidR="008C774F">
        <w:t>evel (FPL)</w:t>
      </w:r>
      <w:r w:rsidRPr="005A6902">
        <w:t>, a substantial proportion of the County’s population lives near poverty or have special circumstances which makes them eligible for Medi-Cal</w:t>
      </w:r>
      <w:r w:rsidR="008C774F">
        <w:t xml:space="preserve">. </w:t>
      </w:r>
      <w:r w:rsidRPr="005A6902">
        <w:t>California's Medicaid program serv</w:t>
      </w:r>
      <w:r w:rsidR="008C774F">
        <w:t>es</w:t>
      </w:r>
      <w:r w:rsidRPr="005A6902">
        <w:t xml:space="preserve"> low-income individuals, including families, seniors, persons with disabilities, children in foster care, pregnant women, and childless adults with incomes below 138% of the federal poverty level. In April 2018, there were 58,367 Medi-Cal beneficiaries in Kings County – 39% of the County’s population.</w:t>
      </w:r>
      <w:r w:rsidRPr="002F3FA3">
        <w:rPr>
          <w:vertAlign w:val="superscript"/>
        </w:rPr>
        <w:footnoteReference w:id="3"/>
      </w:r>
      <w:r w:rsidRPr="005A6902">
        <w:t xml:space="preserve"> </w:t>
      </w:r>
    </w:p>
    <w:p w:rsidR="002B7340" w:rsidRPr="005A6902" w:rsidRDefault="002B7340" w:rsidP="00D209C5">
      <w:pPr>
        <w:pStyle w:val="Text"/>
      </w:pPr>
      <w:r w:rsidRPr="005A6902">
        <w:rPr>
          <w:b/>
          <w:bCs/>
        </w:rPr>
        <w:t>Low-Income preschool children.</w:t>
      </w:r>
      <w:r w:rsidRPr="005A6902">
        <w:t xml:space="preserve"> Tooth decay occurring in children 0-5 years of age is referred to as early childhood caries (ECC). ECC is strongly associated with vulnerable subpopulations and is highly prevalent in poor and near-poor preschool children. Although preventable, ECC remains largely untreated in children under 3 years of age. The Association of State and Territorial Dental Directors (ASTDD) recommends that local health departments implement programs and policies to address early prevention, oral disease risk management, access to dental care services and systems of integration and coordination to prevent and control ECC.</w:t>
      </w:r>
      <w:r w:rsidRPr="002F3FA3">
        <w:rPr>
          <w:vertAlign w:val="superscript"/>
        </w:rPr>
        <w:footnoteReference w:id="4"/>
      </w:r>
      <w:r w:rsidRPr="002F3FA3">
        <w:rPr>
          <w:vertAlign w:val="superscript"/>
        </w:rPr>
        <w:t xml:space="preserve"> </w:t>
      </w:r>
      <w:r w:rsidRPr="005A6902">
        <w:t xml:space="preserve">One avenue to accomplish this recommendation is to provide services in early childhood education programs that target low-income children such as Early Head Start, Head Start, migrant/seasonal Head Start, and California State Preschools. Kings Community Action Organization (KCAO) operates Early Head Start, Head Start, migrant/seasonal Head Start, and California State Preschool programs in Avenal, Corcoran, Hanford, </w:t>
      </w:r>
      <w:proofErr w:type="spellStart"/>
      <w:r w:rsidRPr="005A6902">
        <w:t>Kettleman</w:t>
      </w:r>
      <w:proofErr w:type="spellEnd"/>
      <w:r w:rsidRPr="005A6902">
        <w:t xml:space="preserve"> City, and Lemoore. During 2017, KCAO served 212 Early Head Start, 583 Head Start and172 migrant/seasonal Head Start children.</w:t>
      </w:r>
      <w:r w:rsidRPr="005A6902">
        <w:footnoteReference w:id="5"/>
      </w:r>
      <w:r w:rsidRPr="005A6902">
        <w:rPr>
          <w:b/>
          <w:bCs/>
        </w:rPr>
        <w:t xml:space="preserve"> </w:t>
      </w:r>
      <w:r w:rsidRPr="005A6902">
        <w:t xml:space="preserve">In addition to the preschool programs operated by KCAO, there are California State Preschools operated by the Kings County Office of Education (Hanford, Lemoore and Stratford), West Hills College (Avenal and Lemoore) and </w:t>
      </w:r>
      <w:proofErr w:type="spellStart"/>
      <w:r w:rsidRPr="005A6902">
        <w:t>Educare</w:t>
      </w:r>
      <w:proofErr w:type="spellEnd"/>
      <w:r w:rsidRPr="005A6902">
        <w:t xml:space="preserve"> (Corcoran). These programs served approximately 400 low-income children during the 2017-2018 school year.</w:t>
      </w:r>
    </w:p>
    <w:p w:rsidR="005A6902" w:rsidRDefault="002B7340" w:rsidP="00D209C5">
      <w:pPr>
        <w:pStyle w:val="Text"/>
        <w:rPr>
          <w:rFonts w:cstheme="minorBidi"/>
        </w:rPr>
      </w:pPr>
      <w:r w:rsidRPr="005A6902">
        <w:rPr>
          <w:rFonts w:cstheme="minorBidi"/>
          <w:b/>
          <w:bCs/>
        </w:rPr>
        <w:t>Low-Income school aged children.</w:t>
      </w:r>
      <w:r w:rsidRPr="005A6902">
        <w:rPr>
          <w:rFonts w:cstheme="minorBidi"/>
        </w:rPr>
        <w:t xml:space="preserve"> During the 2017-2018 school year, there were about 28,500 K-12th grade children enrolled in Kings County’s 51 traditional public schools. Of these, 71% were eligible for free or reduced price meals through the National School Lunch Program (NSLP). NSLP is a federally assisted meal program operating in public and nonprofit private schools. Children are eligible for the NSLP if their household income is at or below 185% of federal poverty level. The Centers for Disease Control and Prevention (CDC) recommends that oral health programs be targeted to schools where 50% or more of children are eligible for NSLP. In Kings County there are 42 traditional elementary, middle and high schools with &gt;50% NSLP. The total enrollment for these 42 schools is 24,669 of which 18,748 are eligible for free or reduced-price meals. </w:t>
      </w:r>
    </w:p>
    <w:p w:rsidR="002B7340" w:rsidRPr="005A6902" w:rsidRDefault="002B7340" w:rsidP="00D209C5">
      <w:pPr>
        <w:pStyle w:val="Text"/>
      </w:pPr>
      <w:r w:rsidRPr="005A6902">
        <w:rPr>
          <w:b/>
          <w:bCs/>
        </w:rPr>
        <w:t>Pregnant women.</w:t>
      </w:r>
      <w:r w:rsidRPr="005A6902">
        <w:t xml:space="preserve"> The foundation for good oral health is established early in childhood and the role of the mother is significant. Most women, however, are unaware of the potential consequences neglecting their own oral health could have on them and their baby prior to, during, and after pregnancy. Although dental care during pregnancy is safe and can prevent long-term health problems for the mother and child, many women do not seek dental care during pregnancy. This issue is compounded by the fact that many dentists are reluctant or refuse to see pregnant patients. </w:t>
      </w:r>
    </w:p>
    <w:p w:rsidR="00954A09" w:rsidRPr="005A6902" w:rsidRDefault="00954A09" w:rsidP="0076542A">
      <w:pPr>
        <w:pStyle w:val="Heading2"/>
      </w:pPr>
      <w:bookmarkStart w:id="24" w:name="_Toc11741531"/>
      <w:r w:rsidRPr="005A6902">
        <w:t>Stage of Program Development</w:t>
      </w:r>
      <w:bookmarkEnd w:id="24"/>
    </w:p>
    <w:p w:rsidR="00AC41FF" w:rsidRPr="005A6902" w:rsidRDefault="00AC41FF" w:rsidP="00D209C5">
      <w:pPr>
        <w:pStyle w:val="Text"/>
      </w:pPr>
      <w:r w:rsidRPr="005A6902">
        <w:t xml:space="preserve">The Kings County LOHP </w:t>
      </w:r>
      <w:r w:rsidR="002F3FA3">
        <w:t>has recently completed its</w:t>
      </w:r>
      <w:r w:rsidRPr="005A6902">
        <w:t xml:space="preserve"> initial year</w:t>
      </w:r>
      <w:r w:rsidR="005E1FB2" w:rsidRPr="005A6902">
        <w:t xml:space="preserve"> of program planning</w:t>
      </w:r>
      <w:r w:rsidRPr="005A6902">
        <w:t xml:space="preserve">. </w:t>
      </w:r>
      <w:r w:rsidR="002F3FA3">
        <w:t>D</w:t>
      </w:r>
      <w:r w:rsidR="002F3FA3" w:rsidRPr="005A6902">
        <w:t>ue to challenges identifying a lead agency for the project</w:t>
      </w:r>
      <w:r w:rsidR="002F3FA3">
        <w:t>, t</w:t>
      </w:r>
      <w:r w:rsidRPr="005A6902">
        <w:t xml:space="preserve">he county did not initially </w:t>
      </w:r>
      <w:r w:rsidR="005E1FB2" w:rsidRPr="005A6902">
        <w:t>apply for funding</w:t>
      </w:r>
      <w:r w:rsidR="002F3FA3">
        <w:t xml:space="preserve"> resulting</w:t>
      </w:r>
      <w:r w:rsidR="005E1FB2" w:rsidRPr="005A6902">
        <w:t xml:space="preserve"> in a</w:t>
      </w:r>
      <w:r w:rsidRPr="005A6902">
        <w:t xml:space="preserve"> delay </w:t>
      </w:r>
      <w:r w:rsidR="005E1FB2" w:rsidRPr="005A6902">
        <w:t xml:space="preserve">in start-up. First 5 Kings County ultimately agreed to </w:t>
      </w:r>
      <w:r w:rsidR="002F3FA3">
        <w:t xml:space="preserve">serve as the lead </w:t>
      </w:r>
      <w:r w:rsidR="00223A3A">
        <w:t xml:space="preserve">agency </w:t>
      </w:r>
      <w:r w:rsidR="002F3FA3">
        <w:t>on the</w:t>
      </w:r>
      <w:r w:rsidR="005E1FB2" w:rsidRPr="005A6902">
        <w:t xml:space="preserve"> contract and funding was awarded in </w:t>
      </w:r>
      <w:r w:rsidR="00D209C5">
        <w:t>FY 2018</w:t>
      </w:r>
      <w:r w:rsidR="005E1FB2" w:rsidRPr="005A6902">
        <w:t xml:space="preserve">. </w:t>
      </w:r>
      <w:r w:rsidR="00F86F10">
        <w:t>In t</w:t>
      </w:r>
      <w:r w:rsidR="00D3481D">
        <w:t>he first year of the grant</w:t>
      </w:r>
      <w:r w:rsidR="002F3FA3">
        <w:t xml:space="preserve"> </w:t>
      </w:r>
      <w:r w:rsidR="00EC3A69">
        <w:t xml:space="preserve">First 5 Kings County </w:t>
      </w:r>
      <w:r w:rsidR="002F3FA3">
        <w:t xml:space="preserve">contracted with a health policy consulting firm, </w:t>
      </w:r>
      <w:proofErr w:type="spellStart"/>
      <w:r w:rsidR="002F3FA3">
        <w:t>Diringer</w:t>
      </w:r>
      <w:proofErr w:type="spellEnd"/>
      <w:r w:rsidR="002F3FA3">
        <w:t xml:space="preserve"> and Associates, to </w:t>
      </w:r>
      <w:r w:rsidR="00D3481D">
        <w:t>convene</w:t>
      </w:r>
      <w:r w:rsidR="002F3FA3">
        <w:t xml:space="preserve"> a local oral health coalition </w:t>
      </w:r>
      <w:r w:rsidR="00223A3A">
        <w:t>and to lead the strategic planning process</w:t>
      </w:r>
      <w:r w:rsidRPr="005A6902">
        <w:t xml:space="preserve">. </w:t>
      </w:r>
      <w:r w:rsidR="00292BD6">
        <w:t xml:space="preserve">The coalition </w:t>
      </w:r>
      <w:r w:rsidR="00223A3A">
        <w:t>has met monthly since January of 2019 to</w:t>
      </w:r>
      <w:r w:rsidR="00292BD6">
        <w:t xml:space="preserve"> oversee the formulation of </w:t>
      </w:r>
      <w:r w:rsidR="0076542A">
        <w:t>the</w:t>
      </w:r>
      <w:r w:rsidR="00223A3A">
        <w:t xml:space="preserve"> </w:t>
      </w:r>
      <w:r w:rsidR="009A1F8F">
        <w:t xml:space="preserve">LOHP </w:t>
      </w:r>
      <w:r w:rsidR="00223A3A">
        <w:t>workplan</w:t>
      </w:r>
      <w:r w:rsidR="0076542A">
        <w:t xml:space="preserve">, which </w:t>
      </w:r>
      <w:r w:rsidRPr="005A6902">
        <w:t>will be submitt</w:t>
      </w:r>
      <w:r w:rsidR="0076542A">
        <w:t>ed</w:t>
      </w:r>
      <w:r w:rsidRPr="005A6902">
        <w:t xml:space="preserve"> in June 2019.</w:t>
      </w:r>
    </w:p>
    <w:p w:rsidR="00890126" w:rsidRDefault="00954A09" w:rsidP="0076542A">
      <w:pPr>
        <w:pStyle w:val="Heading2"/>
      </w:pPr>
      <w:bookmarkStart w:id="25" w:name="_Toc11741532"/>
      <w:r w:rsidRPr="005A6902">
        <w:t>Logic Model</w:t>
      </w:r>
      <w:bookmarkEnd w:id="25"/>
    </w:p>
    <w:p w:rsidR="00DD09D7" w:rsidRDefault="002F3FA3">
      <w:pPr>
        <w:rPr>
          <w:rFonts w:ascii="Arial Nova" w:hAnsi="Arial Nova"/>
          <w:b/>
          <w:sz w:val="24"/>
          <w:szCs w:val="24"/>
        </w:rPr>
        <w:sectPr w:rsidR="00DD09D7" w:rsidSect="00B07FD1">
          <w:headerReference w:type="even" r:id="rId13"/>
          <w:headerReference w:type="default" r:id="rId14"/>
          <w:footerReference w:type="even" r:id="rId15"/>
          <w:footerReference w:type="default" r:id="rId16"/>
          <w:headerReference w:type="first" r:id="rId17"/>
          <w:footerReference w:type="first" r:id="rId18"/>
          <w:pgSz w:w="12240" w:h="15840"/>
          <w:pgMar w:top="994" w:right="1440" w:bottom="576" w:left="1440" w:header="720" w:footer="720" w:gutter="0"/>
          <w:pgNumType w:start="1"/>
          <w:cols w:space="720"/>
          <w:docGrid w:linePitch="360"/>
        </w:sectPr>
      </w:pPr>
      <w:r w:rsidRPr="002F3FA3">
        <w:rPr>
          <w:rFonts w:ascii="Arial" w:hAnsi="Arial" w:cs="Arial"/>
          <w:sz w:val="24"/>
          <w:szCs w:val="24"/>
        </w:rPr>
        <w:t xml:space="preserve">The Kings County LOHP Evaluation Plan will be guided by an evaluation logic model that </w:t>
      </w:r>
      <w:r w:rsidR="009A3CDE">
        <w:rPr>
          <w:rFonts w:ascii="Arial" w:hAnsi="Arial" w:cs="Arial"/>
          <w:sz w:val="24"/>
          <w:szCs w:val="24"/>
        </w:rPr>
        <w:t>articulates the linkages between</w:t>
      </w:r>
      <w:r w:rsidRPr="002F3FA3">
        <w:rPr>
          <w:rFonts w:ascii="Arial" w:hAnsi="Arial" w:cs="Arial"/>
          <w:sz w:val="24"/>
          <w:szCs w:val="24"/>
        </w:rPr>
        <w:t xml:space="preserve"> program inputs, planned strategies and activities, outputs, desired outcomes, and </w:t>
      </w:r>
      <w:r w:rsidR="00FF41C8">
        <w:rPr>
          <w:rFonts w:ascii="Arial" w:hAnsi="Arial" w:cs="Arial"/>
          <w:sz w:val="24"/>
          <w:szCs w:val="24"/>
        </w:rPr>
        <w:t>stated</w:t>
      </w:r>
      <w:r w:rsidRPr="002F3FA3">
        <w:rPr>
          <w:rFonts w:ascii="Arial" w:hAnsi="Arial" w:cs="Arial"/>
          <w:sz w:val="24"/>
          <w:szCs w:val="24"/>
        </w:rPr>
        <w:t xml:space="preserve"> objectives</w:t>
      </w:r>
      <w:r w:rsidR="00FF41C8">
        <w:rPr>
          <w:rFonts w:ascii="Arial" w:hAnsi="Arial" w:cs="Arial"/>
          <w:sz w:val="24"/>
          <w:szCs w:val="24"/>
        </w:rPr>
        <w:t xml:space="preserve"> for the local oral health program</w:t>
      </w:r>
      <w:r w:rsidRPr="002F3FA3">
        <w:rPr>
          <w:rFonts w:ascii="Arial" w:hAnsi="Arial" w:cs="Arial"/>
          <w:sz w:val="24"/>
          <w:szCs w:val="24"/>
        </w:rPr>
        <w:t>.</w:t>
      </w:r>
      <w:r w:rsidR="009A3CDE">
        <w:rPr>
          <w:rFonts w:ascii="Arial" w:hAnsi="Arial" w:cs="Arial"/>
          <w:sz w:val="24"/>
          <w:szCs w:val="24"/>
        </w:rPr>
        <w:t xml:space="preserve"> The logic model provides a simple illustration of the relationship between the planned work of the LOHP and </w:t>
      </w:r>
      <w:r w:rsidR="00662B7E">
        <w:rPr>
          <w:rFonts w:ascii="Arial" w:hAnsi="Arial" w:cs="Arial"/>
          <w:sz w:val="24"/>
          <w:szCs w:val="24"/>
        </w:rPr>
        <w:t>its</w:t>
      </w:r>
      <w:r w:rsidR="009A3CDE">
        <w:rPr>
          <w:rFonts w:ascii="Arial" w:hAnsi="Arial" w:cs="Arial"/>
          <w:sz w:val="24"/>
          <w:szCs w:val="24"/>
        </w:rPr>
        <w:t xml:space="preserve"> intended results. The logic model</w:t>
      </w:r>
      <w:r w:rsidR="0076542A">
        <w:rPr>
          <w:rFonts w:ascii="Arial" w:hAnsi="Arial" w:cs="Arial"/>
          <w:sz w:val="24"/>
          <w:szCs w:val="24"/>
        </w:rPr>
        <w:t xml:space="preserve">, </w:t>
      </w:r>
      <w:r w:rsidR="00662B7E">
        <w:rPr>
          <w:rFonts w:ascii="Arial" w:hAnsi="Arial" w:cs="Arial"/>
          <w:sz w:val="24"/>
          <w:szCs w:val="24"/>
        </w:rPr>
        <w:t xml:space="preserve">which </w:t>
      </w:r>
      <w:r w:rsidR="0076542A">
        <w:rPr>
          <w:rFonts w:ascii="Arial" w:hAnsi="Arial" w:cs="Arial"/>
          <w:sz w:val="24"/>
          <w:szCs w:val="24"/>
        </w:rPr>
        <w:t>shown in exhibit 3 on the following page,</w:t>
      </w:r>
      <w:r w:rsidR="009A3CDE">
        <w:rPr>
          <w:rFonts w:ascii="Arial" w:hAnsi="Arial" w:cs="Arial"/>
          <w:sz w:val="24"/>
          <w:szCs w:val="24"/>
        </w:rPr>
        <w:t xml:space="preserve"> will be used to support program planning, management, evaluation, and communication of findings. </w:t>
      </w:r>
    </w:p>
    <w:tbl>
      <w:tblPr>
        <w:tblStyle w:val="TableGrid"/>
        <w:tblW w:w="14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20"/>
        <w:gridCol w:w="2380"/>
        <w:gridCol w:w="270"/>
        <w:gridCol w:w="2610"/>
        <w:gridCol w:w="270"/>
        <w:gridCol w:w="2625"/>
        <w:gridCol w:w="255"/>
        <w:gridCol w:w="270"/>
        <w:gridCol w:w="2522"/>
        <w:gridCol w:w="13"/>
      </w:tblGrid>
      <w:tr w:rsidR="00DD09D7" w:rsidRPr="00C02A74" w:rsidTr="00261631">
        <w:trPr>
          <w:trHeight w:val="511"/>
        </w:trPr>
        <w:tc>
          <w:tcPr>
            <w:tcW w:w="11355" w:type="dxa"/>
            <w:gridSpan w:val="7"/>
            <w:tcBorders>
              <w:bottom w:val="single" w:sz="8" w:space="0" w:color="auto"/>
            </w:tcBorders>
            <w:tcMar>
              <w:top w:w="29" w:type="dxa"/>
              <w:left w:w="72" w:type="dxa"/>
              <w:bottom w:w="29" w:type="dxa"/>
              <w:right w:w="72" w:type="dxa"/>
            </w:tcMar>
            <w:vAlign w:val="center"/>
          </w:tcPr>
          <w:p w:rsidR="00DD09D7" w:rsidRPr="004C2723" w:rsidRDefault="00DD09D7" w:rsidP="005C012E">
            <w:pPr>
              <w:outlineLvl w:val="0"/>
              <w:rPr>
                <w:rFonts w:ascii="Arial" w:hAnsi="Arial"/>
                <w:b/>
                <w:color w:val="404040" w:themeColor="text1" w:themeTint="BF"/>
                <w:sz w:val="28"/>
                <w:szCs w:val="28"/>
              </w:rPr>
            </w:pPr>
            <w:bookmarkStart w:id="26" w:name="_Toc11741309"/>
            <w:bookmarkStart w:id="27" w:name="_Toc11741533"/>
            <w:r w:rsidRPr="00FC766F">
              <w:rPr>
                <w:rFonts w:ascii="Arial Nova" w:hAnsi="Arial Nova"/>
                <w:b/>
                <w:sz w:val="24"/>
                <w:szCs w:val="24"/>
              </w:rPr>
              <w:t xml:space="preserve">Exhibit 3   </w:t>
            </w:r>
            <w:r w:rsidRPr="00AB5860">
              <w:rPr>
                <w:rFonts w:ascii="Arial Nova" w:hAnsi="Arial Nova"/>
                <w:bCs/>
                <w:sz w:val="24"/>
                <w:szCs w:val="24"/>
              </w:rPr>
              <w:t>Kings County Local Oral Health Program (LOHP) Evaluation Logic Model</w:t>
            </w:r>
            <w:bookmarkEnd w:id="26"/>
            <w:bookmarkEnd w:id="27"/>
          </w:p>
        </w:tc>
        <w:tc>
          <w:tcPr>
            <w:tcW w:w="3060" w:type="dxa"/>
            <w:gridSpan w:val="4"/>
            <w:tcBorders>
              <w:bottom w:val="single" w:sz="8" w:space="0" w:color="auto"/>
            </w:tcBorders>
            <w:tcMar>
              <w:top w:w="29" w:type="dxa"/>
              <w:left w:w="72" w:type="dxa"/>
              <w:bottom w:w="29" w:type="dxa"/>
              <w:right w:w="72" w:type="dxa"/>
            </w:tcMar>
            <w:vAlign w:val="center"/>
          </w:tcPr>
          <w:p w:rsidR="00DD09D7" w:rsidRPr="00AB5860" w:rsidRDefault="00DD09D7" w:rsidP="005C012E">
            <w:pPr>
              <w:ind w:hanging="75"/>
              <w:jc w:val="right"/>
              <w:rPr>
                <w:rFonts w:ascii="Arial Nova" w:hAnsi="Arial Nova"/>
                <w:bCs/>
                <w:szCs w:val="24"/>
              </w:rPr>
            </w:pPr>
          </w:p>
        </w:tc>
      </w:tr>
      <w:tr w:rsidR="00DD09D7" w:rsidRPr="004C2723" w:rsidTr="00261631">
        <w:trPr>
          <w:trHeight w:hRule="exact" w:val="86"/>
        </w:trPr>
        <w:tc>
          <w:tcPr>
            <w:tcW w:w="14415" w:type="dxa"/>
            <w:gridSpan w:val="11"/>
            <w:tcBorders>
              <w:top w:val="single" w:sz="8" w:space="0" w:color="auto"/>
            </w:tcBorders>
            <w:tcMar>
              <w:top w:w="29" w:type="dxa"/>
              <w:left w:w="72" w:type="dxa"/>
              <w:bottom w:w="29" w:type="dxa"/>
              <w:right w:w="72" w:type="dxa"/>
            </w:tcMar>
          </w:tcPr>
          <w:p w:rsidR="00DD09D7" w:rsidRPr="004C2723" w:rsidRDefault="00DD09D7" w:rsidP="005C012E">
            <w:pPr>
              <w:rPr>
                <w:rFonts w:ascii="Arial" w:hAnsi="Arial"/>
                <w:color w:val="404040" w:themeColor="text1" w:themeTint="BF"/>
                <w:sz w:val="6"/>
                <w:szCs w:val="6"/>
              </w:rPr>
            </w:pPr>
          </w:p>
        </w:tc>
      </w:tr>
      <w:tr w:rsidR="00DD09D7" w:rsidRPr="004C2723" w:rsidTr="00261631">
        <w:trPr>
          <w:trHeight w:hRule="exact" w:val="29"/>
        </w:trPr>
        <w:tc>
          <w:tcPr>
            <w:tcW w:w="14415" w:type="dxa"/>
            <w:gridSpan w:val="11"/>
            <w:tcMar>
              <w:top w:w="29" w:type="dxa"/>
              <w:left w:w="72" w:type="dxa"/>
              <w:bottom w:w="29" w:type="dxa"/>
              <w:right w:w="72" w:type="dxa"/>
            </w:tcMar>
          </w:tcPr>
          <w:p w:rsidR="00DD09D7" w:rsidRPr="004C2723" w:rsidRDefault="00DD09D7" w:rsidP="005C012E">
            <w:pPr>
              <w:rPr>
                <w:rFonts w:ascii="Arial" w:hAnsi="Arial"/>
                <w:b/>
                <w:color w:val="404040" w:themeColor="text1" w:themeTint="BF"/>
                <w:sz w:val="20"/>
                <w:szCs w:val="20"/>
              </w:rPr>
            </w:pPr>
          </w:p>
        </w:tc>
      </w:tr>
      <w:tr w:rsidR="00DD09D7" w:rsidRPr="00522E12" w:rsidTr="00261631">
        <w:trPr>
          <w:gridAfter w:val="1"/>
          <w:wAfter w:w="13" w:type="dxa"/>
          <w:trHeight w:val="554"/>
        </w:trPr>
        <w:tc>
          <w:tcPr>
            <w:tcW w:w="2880" w:type="dxa"/>
            <w:tcBorders>
              <w:top w:val="single" w:sz="8" w:space="0" w:color="404040" w:themeColor="text1" w:themeTint="BF"/>
              <w:left w:val="single" w:sz="8" w:space="0" w:color="404040" w:themeColor="text1" w:themeTint="BF"/>
              <w:bottom w:val="single" w:sz="4" w:space="0" w:color="auto"/>
              <w:right w:val="single" w:sz="8" w:space="0" w:color="404040" w:themeColor="text1" w:themeTint="BF"/>
            </w:tcBorders>
            <w:shd w:val="clear" w:color="auto" w:fill="F2F2F2" w:themeFill="background1" w:themeFillShade="F2"/>
            <w:tcMar>
              <w:top w:w="29" w:type="dxa"/>
              <w:left w:w="72" w:type="dxa"/>
              <w:bottom w:w="29" w:type="dxa"/>
              <w:right w:w="72" w:type="dxa"/>
            </w:tcMar>
            <w:vAlign w:val="center"/>
          </w:tcPr>
          <w:p w:rsidR="00DD09D7" w:rsidRPr="00522E12" w:rsidRDefault="00DD09D7" w:rsidP="00261631">
            <w:pPr>
              <w:jc w:val="center"/>
              <w:rPr>
                <w:rFonts w:eastAsia="Times New Roman" w:cs="Times New Roman"/>
                <w:sz w:val="20"/>
                <w:szCs w:val="20"/>
              </w:rPr>
            </w:pPr>
            <w:r>
              <w:rPr>
                <w:rFonts w:ascii="Arial" w:eastAsia="Times New Roman" w:hAnsi="Arial"/>
                <w:b/>
                <w:color w:val="404040"/>
                <w:sz w:val="20"/>
                <w:szCs w:val="20"/>
              </w:rPr>
              <w:t>Inputs</w:t>
            </w:r>
          </w:p>
        </w:tc>
        <w:tc>
          <w:tcPr>
            <w:tcW w:w="320" w:type="dxa"/>
            <w:tcBorders>
              <w:left w:val="single" w:sz="8" w:space="0" w:color="404040" w:themeColor="text1" w:themeTint="BF"/>
              <w:right w:val="single" w:sz="8" w:space="0" w:color="404040" w:themeColor="text1" w:themeTint="BF"/>
            </w:tcBorders>
            <w:shd w:val="clear" w:color="auto" w:fill="FFFFFF" w:themeFill="background1"/>
          </w:tcPr>
          <w:p w:rsidR="00DD09D7" w:rsidRPr="00522E12" w:rsidRDefault="00261631" w:rsidP="005C012E">
            <w:pPr>
              <w:rPr>
                <w:rFonts w:eastAsia="Times New Roman" w:cs="Times New Roman"/>
                <w:sz w:val="20"/>
                <w:szCs w:val="20"/>
              </w:rPr>
            </w:pPr>
            <w:r w:rsidRPr="00845524">
              <w:rPr>
                <w:rFonts w:ascii="Arial Narrow" w:eastAsia="Times New Roman" w:hAnsi="Arial Narrow" w:cs="Times New Roman"/>
                <w:noProof/>
                <w:sz w:val="20"/>
                <w:szCs w:val="20"/>
              </w:rPr>
              <mc:AlternateContent>
                <mc:Choice Requires="wps">
                  <w:drawing>
                    <wp:anchor distT="0" distB="0" distL="114300" distR="114300" simplePos="0" relativeHeight="251679744" behindDoc="0" locked="0" layoutInCell="1" allowOverlap="1" wp14:anchorId="4C08E086" wp14:editId="37AB857D">
                      <wp:simplePos x="0" y="0"/>
                      <wp:positionH relativeFrom="column">
                        <wp:posOffset>-132714</wp:posOffset>
                      </wp:positionH>
                      <wp:positionV relativeFrom="paragraph">
                        <wp:posOffset>53974</wp:posOffset>
                      </wp:positionV>
                      <wp:extent cx="276225" cy="241935"/>
                      <wp:effectExtent l="0" t="20955" r="45720" b="45720"/>
                      <wp:wrapNone/>
                      <wp:docPr id="32" name="Down Arrow 32"/>
                      <wp:cNvGraphicFramePr/>
                      <a:graphic xmlns:a="http://schemas.openxmlformats.org/drawingml/2006/main">
                        <a:graphicData uri="http://schemas.microsoft.com/office/word/2010/wordprocessingShape">
                          <wps:wsp>
                            <wps:cNvSpPr/>
                            <wps:spPr>
                              <a:xfrm rot="16200000">
                                <a:off x="0" y="0"/>
                                <a:ext cx="276225" cy="241935"/>
                              </a:xfrm>
                              <a:prstGeom prst="downArrow">
                                <a:avLst/>
                              </a:prstGeom>
                              <a:solidFill>
                                <a:sysClr val="window" lastClr="FFFFFF"/>
                              </a:solidFill>
                              <a:ln w="952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26" type="#_x0000_t67" style="position:absolute;margin-left:-10.45pt;margin-top:4.25pt;width:21.75pt;height:19.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" adj="10800" fillcolor="window" strokecolor="#404040"/>
                  </w:pict>
                </mc:Fallback>
              </mc:AlternateContent>
            </w:r>
          </w:p>
        </w:tc>
        <w:tc>
          <w:tcPr>
            <w:tcW w:w="2380" w:type="dxa"/>
            <w:tcBorders>
              <w:top w:val="single" w:sz="8" w:space="0" w:color="404040" w:themeColor="text1" w:themeTint="BF"/>
              <w:left w:val="single" w:sz="8" w:space="0" w:color="404040" w:themeColor="text1" w:themeTint="BF"/>
              <w:bottom w:val="single" w:sz="4" w:space="0" w:color="auto"/>
              <w:right w:val="single" w:sz="8" w:space="0" w:color="404040" w:themeColor="text1" w:themeTint="BF"/>
            </w:tcBorders>
            <w:shd w:val="clear" w:color="auto" w:fill="F2F2F2" w:themeFill="background1" w:themeFillShade="F2"/>
            <w:vAlign w:val="center"/>
          </w:tcPr>
          <w:p w:rsidR="00DD09D7" w:rsidRPr="00522E12" w:rsidRDefault="00DD09D7" w:rsidP="005C012E">
            <w:pPr>
              <w:jc w:val="center"/>
              <w:rPr>
                <w:rFonts w:eastAsia="Times New Roman" w:cs="Times New Roman"/>
                <w:sz w:val="20"/>
                <w:szCs w:val="20"/>
              </w:rPr>
            </w:pPr>
            <w:r w:rsidRPr="00845524">
              <w:rPr>
                <w:rFonts w:ascii="Arial" w:eastAsia="Times New Roman" w:hAnsi="Arial"/>
                <w:b/>
                <w:color w:val="404040"/>
                <w:sz w:val="20"/>
                <w:szCs w:val="20"/>
              </w:rPr>
              <w:t>Strategies/Activities</w:t>
            </w:r>
          </w:p>
        </w:tc>
        <w:tc>
          <w:tcPr>
            <w:tcW w:w="270" w:type="dxa"/>
            <w:tcBorders>
              <w:left w:val="single" w:sz="8" w:space="0" w:color="404040" w:themeColor="text1" w:themeTint="BF"/>
              <w:right w:val="single" w:sz="8" w:space="0" w:color="404040" w:themeColor="text1" w:themeTint="BF"/>
            </w:tcBorders>
            <w:shd w:val="clear" w:color="auto" w:fill="auto"/>
            <w:vAlign w:val="center"/>
          </w:tcPr>
          <w:p w:rsidR="00DD09D7" w:rsidRPr="00522E12" w:rsidRDefault="00DD09D7" w:rsidP="005C012E">
            <w:pPr>
              <w:jc w:val="center"/>
              <w:rPr>
                <w:rFonts w:eastAsia="Times New Roman" w:cs="Times New Roman"/>
                <w:sz w:val="20"/>
                <w:szCs w:val="20"/>
              </w:rPr>
            </w:pPr>
            <w:r w:rsidRPr="00845524">
              <w:rPr>
                <w:rFonts w:ascii="Arial Narrow" w:eastAsia="Times New Roman" w:hAnsi="Arial Narrow" w:cs="Times New Roman"/>
                <w:noProof/>
                <w:sz w:val="20"/>
                <w:szCs w:val="20"/>
              </w:rPr>
              <mc:AlternateContent>
                <mc:Choice Requires="wps">
                  <w:drawing>
                    <wp:anchor distT="0" distB="0" distL="114300" distR="114300" simplePos="0" relativeHeight="251683840" behindDoc="0" locked="0" layoutInCell="1" allowOverlap="1" wp14:anchorId="3AA06C08" wp14:editId="2669035B">
                      <wp:simplePos x="0" y="0"/>
                      <wp:positionH relativeFrom="column">
                        <wp:posOffset>-144145</wp:posOffset>
                      </wp:positionH>
                      <wp:positionV relativeFrom="paragraph">
                        <wp:posOffset>64770</wp:posOffset>
                      </wp:positionV>
                      <wp:extent cx="276225" cy="241935"/>
                      <wp:effectExtent l="0" t="20955" r="45720" b="45720"/>
                      <wp:wrapNone/>
                      <wp:docPr id="2" name="Down Arrow 32"/>
                      <wp:cNvGraphicFramePr/>
                      <a:graphic xmlns:a="http://schemas.openxmlformats.org/drawingml/2006/main">
                        <a:graphicData uri="http://schemas.microsoft.com/office/word/2010/wordprocessingShape">
                          <wps:wsp>
                            <wps:cNvSpPr/>
                            <wps:spPr>
                              <a:xfrm rot="16200000">
                                <a:off x="0" y="0"/>
                                <a:ext cx="276225" cy="241935"/>
                              </a:xfrm>
                              <a:prstGeom prst="downArrow">
                                <a:avLst/>
                              </a:prstGeom>
                              <a:solidFill>
                                <a:sysClr val="window" lastClr="FFFFFF"/>
                              </a:solidFill>
                              <a:ln w="952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 o:spid="_x0000_s1026" type="#_x0000_t67" style="position:absolute;margin-left:-11.35pt;margin-top:5.1pt;width:21.75pt;height:19.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" adj="10800" fillcolor="window" strokecolor="#404040"/>
                  </w:pict>
                </mc:Fallback>
              </mc:AlternateContent>
            </w:r>
          </w:p>
        </w:tc>
        <w:tc>
          <w:tcPr>
            <w:tcW w:w="2610" w:type="dxa"/>
            <w:tcBorders>
              <w:top w:val="single" w:sz="8" w:space="0" w:color="404040" w:themeColor="text1" w:themeTint="BF"/>
              <w:left w:val="single" w:sz="8" w:space="0" w:color="404040" w:themeColor="text1" w:themeTint="BF"/>
              <w:bottom w:val="single" w:sz="4" w:space="0" w:color="auto"/>
              <w:right w:val="single" w:sz="8" w:space="0" w:color="404040" w:themeColor="text1" w:themeTint="BF"/>
            </w:tcBorders>
            <w:shd w:val="clear" w:color="auto" w:fill="F2F2F2" w:themeFill="background1" w:themeFillShade="F2"/>
            <w:vAlign w:val="center"/>
          </w:tcPr>
          <w:p w:rsidR="00DD09D7" w:rsidRPr="00522E12" w:rsidRDefault="00DD09D7" w:rsidP="005C012E">
            <w:pPr>
              <w:jc w:val="center"/>
              <w:rPr>
                <w:rFonts w:eastAsia="Times New Roman" w:cs="Times New Roman"/>
                <w:sz w:val="20"/>
                <w:szCs w:val="20"/>
              </w:rPr>
            </w:pPr>
            <w:r>
              <w:rPr>
                <w:rFonts w:ascii="Arial" w:eastAsia="Times New Roman" w:hAnsi="Arial"/>
                <w:b/>
                <w:color w:val="404040"/>
                <w:sz w:val="20"/>
                <w:szCs w:val="20"/>
              </w:rPr>
              <w:t>Products/</w:t>
            </w:r>
            <w:r w:rsidRPr="00845524">
              <w:rPr>
                <w:rFonts w:ascii="Arial" w:eastAsia="Times New Roman" w:hAnsi="Arial"/>
                <w:b/>
                <w:color w:val="404040"/>
                <w:sz w:val="20"/>
                <w:szCs w:val="20"/>
              </w:rPr>
              <w:t>Outputs</w:t>
            </w:r>
          </w:p>
        </w:tc>
        <w:tc>
          <w:tcPr>
            <w:tcW w:w="270" w:type="dxa"/>
            <w:tcBorders>
              <w:left w:val="single" w:sz="8" w:space="0" w:color="404040" w:themeColor="text1" w:themeTint="BF"/>
              <w:right w:val="single" w:sz="8" w:space="0" w:color="404040" w:themeColor="text1" w:themeTint="BF"/>
            </w:tcBorders>
            <w:shd w:val="clear" w:color="auto" w:fill="auto"/>
            <w:vAlign w:val="center"/>
          </w:tcPr>
          <w:p w:rsidR="00DD09D7" w:rsidRPr="00522E12" w:rsidRDefault="00DD09D7" w:rsidP="005C012E">
            <w:pPr>
              <w:jc w:val="center"/>
              <w:rPr>
                <w:rFonts w:eastAsia="Times New Roman" w:cs="Times New Roman"/>
                <w:sz w:val="20"/>
                <w:szCs w:val="20"/>
              </w:rPr>
            </w:pPr>
            <w:r w:rsidRPr="00845524">
              <w:rPr>
                <w:rFonts w:ascii="Arial Narrow" w:eastAsia="Times New Roman" w:hAnsi="Arial Narrow" w:cs="Times New Roman"/>
                <w:noProof/>
                <w:sz w:val="20"/>
                <w:szCs w:val="20"/>
              </w:rPr>
              <mc:AlternateContent>
                <mc:Choice Requires="wps">
                  <w:drawing>
                    <wp:anchor distT="0" distB="0" distL="114300" distR="114300" simplePos="0" relativeHeight="251681792" behindDoc="0" locked="0" layoutInCell="1" allowOverlap="1" wp14:anchorId="0F1BCBD0" wp14:editId="3866B3B1">
                      <wp:simplePos x="0" y="0"/>
                      <wp:positionH relativeFrom="column">
                        <wp:posOffset>-116205</wp:posOffset>
                      </wp:positionH>
                      <wp:positionV relativeFrom="paragraph">
                        <wp:posOffset>55245</wp:posOffset>
                      </wp:positionV>
                      <wp:extent cx="276225" cy="241935"/>
                      <wp:effectExtent l="0" t="20955" r="45720" b="45720"/>
                      <wp:wrapNone/>
                      <wp:docPr id="4" name="Down Arrow 32"/>
                      <wp:cNvGraphicFramePr/>
                      <a:graphic xmlns:a="http://schemas.openxmlformats.org/drawingml/2006/main">
                        <a:graphicData uri="http://schemas.microsoft.com/office/word/2010/wordprocessingShape">
                          <wps:wsp>
                            <wps:cNvSpPr/>
                            <wps:spPr>
                              <a:xfrm rot="16200000">
                                <a:off x="0" y="0"/>
                                <a:ext cx="276225" cy="241935"/>
                              </a:xfrm>
                              <a:prstGeom prst="downArrow">
                                <a:avLst/>
                              </a:prstGeom>
                              <a:solidFill>
                                <a:sysClr val="window" lastClr="FFFFFF"/>
                              </a:solidFill>
                              <a:ln w="952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 o:spid="_x0000_s1026" type="#_x0000_t67" style="position:absolute;margin-left:-9.15pt;margin-top:4.35pt;width:21.75pt;height:19.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" adj="10800" fillcolor="window" strokecolor="#404040"/>
                  </w:pict>
                </mc:Fallback>
              </mc:AlternateContent>
            </w:r>
          </w:p>
        </w:tc>
        <w:tc>
          <w:tcPr>
            <w:tcW w:w="2880" w:type="dxa"/>
            <w:gridSpan w:val="2"/>
            <w:tcBorders>
              <w:top w:val="single" w:sz="8" w:space="0" w:color="404040" w:themeColor="text1" w:themeTint="BF"/>
              <w:left w:val="single" w:sz="8" w:space="0" w:color="404040" w:themeColor="text1" w:themeTint="BF"/>
              <w:bottom w:val="single" w:sz="4" w:space="0" w:color="auto"/>
              <w:right w:val="single" w:sz="8" w:space="0" w:color="404040" w:themeColor="text1" w:themeTint="BF"/>
            </w:tcBorders>
            <w:shd w:val="clear" w:color="auto" w:fill="F2F2F2" w:themeFill="background1" w:themeFillShade="F2"/>
            <w:vAlign w:val="center"/>
          </w:tcPr>
          <w:p w:rsidR="00DD09D7" w:rsidRPr="00522E12" w:rsidRDefault="00DD09D7" w:rsidP="005C012E">
            <w:pPr>
              <w:jc w:val="center"/>
              <w:rPr>
                <w:rFonts w:eastAsia="Times New Roman" w:cs="Times New Roman"/>
                <w:sz w:val="20"/>
                <w:szCs w:val="20"/>
              </w:rPr>
            </w:pPr>
            <w:r w:rsidRPr="00845524">
              <w:rPr>
                <w:rFonts w:ascii="Arial" w:eastAsia="Times New Roman" w:hAnsi="Arial"/>
                <w:b/>
                <w:color w:val="404040"/>
                <w:sz w:val="20"/>
                <w:szCs w:val="20"/>
              </w:rPr>
              <w:t>Outcomes</w:t>
            </w:r>
          </w:p>
        </w:tc>
        <w:tc>
          <w:tcPr>
            <w:tcW w:w="270" w:type="dxa"/>
            <w:tcBorders>
              <w:left w:val="single" w:sz="8" w:space="0" w:color="404040" w:themeColor="text1" w:themeTint="BF"/>
              <w:right w:val="single" w:sz="8" w:space="0" w:color="404040" w:themeColor="text1" w:themeTint="BF"/>
            </w:tcBorders>
            <w:shd w:val="clear" w:color="auto" w:fill="auto"/>
            <w:vAlign w:val="center"/>
          </w:tcPr>
          <w:p w:rsidR="00DD09D7" w:rsidRPr="00522E12" w:rsidRDefault="00DD09D7" w:rsidP="005C012E">
            <w:pPr>
              <w:jc w:val="center"/>
              <w:rPr>
                <w:rFonts w:eastAsia="Times New Roman" w:cs="Times New Roman"/>
                <w:sz w:val="20"/>
                <w:szCs w:val="20"/>
              </w:rPr>
            </w:pPr>
            <w:r w:rsidRPr="00845524">
              <w:rPr>
                <w:rFonts w:ascii="Arial Narrow" w:eastAsia="Times New Roman" w:hAnsi="Arial Narrow" w:cs="Times New Roman"/>
                <w:noProof/>
                <w:sz w:val="20"/>
                <w:szCs w:val="20"/>
              </w:rPr>
              <mc:AlternateContent>
                <mc:Choice Requires="wps">
                  <w:drawing>
                    <wp:anchor distT="0" distB="0" distL="114300" distR="114300" simplePos="0" relativeHeight="251682816" behindDoc="0" locked="0" layoutInCell="1" allowOverlap="1" wp14:anchorId="570871EE" wp14:editId="22F845BB">
                      <wp:simplePos x="0" y="0"/>
                      <wp:positionH relativeFrom="column">
                        <wp:posOffset>-167640</wp:posOffset>
                      </wp:positionH>
                      <wp:positionV relativeFrom="paragraph">
                        <wp:posOffset>69850</wp:posOffset>
                      </wp:positionV>
                      <wp:extent cx="276225" cy="241935"/>
                      <wp:effectExtent l="0" t="20955" r="45720" b="45720"/>
                      <wp:wrapNone/>
                      <wp:docPr id="5" name="Down Arrow 32"/>
                      <wp:cNvGraphicFramePr/>
                      <a:graphic xmlns:a="http://schemas.openxmlformats.org/drawingml/2006/main">
                        <a:graphicData uri="http://schemas.microsoft.com/office/word/2010/wordprocessingShape">
                          <wps:wsp>
                            <wps:cNvSpPr/>
                            <wps:spPr>
                              <a:xfrm rot="16200000">
                                <a:off x="0" y="0"/>
                                <a:ext cx="276225" cy="241935"/>
                              </a:xfrm>
                              <a:prstGeom prst="downArrow">
                                <a:avLst/>
                              </a:prstGeom>
                              <a:solidFill>
                                <a:sysClr val="window" lastClr="FFFFFF"/>
                              </a:solidFill>
                              <a:ln w="952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 o:spid="_x0000_s1026" type="#_x0000_t67" style="position:absolute;margin-left:-13.2pt;margin-top:5.5pt;width:21.75pt;height:19.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" adj="10800" fillcolor="window" strokecolor="#404040"/>
                  </w:pict>
                </mc:Fallback>
              </mc:AlternateContent>
            </w:r>
          </w:p>
        </w:tc>
        <w:tc>
          <w:tcPr>
            <w:tcW w:w="2522" w:type="dxa"/>
            <w:tcBorders>
              <w:top w:val="single" w:sz="8" w:space="0" w:color="404040" w:themeColor="text1" w:themeTint="BF"/>
              <w:left w:val="single" w:sz="8" w:space="0" w:color="404040" w:themeColor="text1" w:themeTint="BF"/>
              <w:bottom w:val="single" w:sz="4" w:space="0" w:color="auto"/>
              <w:right w:val="single" w:sz="8" w:space="0" w:color="404040" w:themeColor="text1" w:themeTint="BF"/>
            </w:tcBorders>
            <w:shd w:val="clear" w:color="auto" w:fill="F2F2F2" w:themeFill="background1" w:themeFillShade="F2"/>
            <w:vAlign w:val="center"/>
          </w:tcPr>
          <w:p w:rsidR="00DD09D7" w:rsidRPr="00522E12" w:rsidRDefault="00DD09D7" w:rsidP="005C012E">
            <w:pPr>
              <w:jc w:val="center"/>
              <w:rPr>
                <w:rFonts w:eastAsia="Times New Roman" w:cs="Times New Roman"/>
                <w:sz w:val="20"/>
                <w:szCs w:val="20"/>
              </w:rPr>
            </w:pPr>
            <w:r w:rsidRPr="00981A0B">
              <w:rPr>
                <w:rFonts w:ascii="Arial" w:eastAsia="Times New Roman" w:hAnsi="Arial"/>
                <w:b/>
                <w:color w:val="404040"/>
                <w:sz w:val="20"/>
                <w:szCs w:val="20"/>
              </w:rPr>
              <w:t>Oral Health Objectives</w:t>
            </w:r>
          </w:p>
        </w:tc>
      </w:tr>
    </w:tbl>
    <w:p w:rsidR="00DD09D7" w:rsidRPr="00845524" w:rsidRDefault="00DD09D7" w:rsidP="00DD09D7">
      <w:pPr>
        <w:rPr>
          <w:sz w:val="14"/>
        </w:rPr>
      </w:pPr>
    </w:p>
    <w:tbl>
      <w:tblPr>
        <w:tblStyle w:val="TableGrid1"/>
        <w:tblW w:w="14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164"/>
        <w:gridCol w:w="2507"/>
        <w:gridCol w:w="270"/>
        <w:gridCol w:w="2624"/>
        <w:gridCol w:w="255"/>
        <w:gridCol w:w="2881"/>
        <w:gridCol w:w="270"/>
        <w:gridCol w:w="2520"/>
      </w:tblGrid>
      <w:tr w:rsidR="00DD09D7" w:rsidRPr="00845524" w:rsidTr="005C012E">
        <w:trPr>
          <w:trHeight w:val="915"/>
        </w:trPr>
        <w:tc>
          <w:tcPr>
            <w:tcW w:w="2909" w:type="dxa"/>
            <w:tcBorders>
              <w:top w:val="single" w:sz="4" w:space="0" w:color="404040"/>
              <w:left w:val="single" w:sz="4" w:space="0" w:color="auto"/>
              <w:bottom w:val="single" w:sz="4" w:space="0" w:color="404040"/>
              <w:right w:val="single" w:sz="4" w:space="0" w:color="404040"/>
            </w:tcBorders>
            <w:shd w:val="clear" w:color="auto" w:fill="F2F2F2"/>
            <w:tcMar>
              <w:top w:w="29" w:type="dxa"/>
              <w:left w:w="72" w:type="dxa"/>
              <w:bottom w:w="29" w:type="dxa"/>
              <w:right w:w="72" w:type="dxa"/>
            </w:tcMar>
          </w:tcPr>
          <w:p w:rsidR="00DD09D7" w:rsidRDefault="00DD09D7" w:rsidP="005C012E">
            <w:pPr>
              <w:tabs>
                <w:tab w:val="left" w:pos="108"/>
              </w:tabs>
              <w:spacing w:before="60" w:after="60"/>
              <w:ind w:left="14"/>
              <w:rPr>
                <w:rFonts w:ascii="Arial Narrow" w:eastAsia="Times New Roman" w:hAnsi="Arial Narrow" w:cs="Times New Roman"/>
                <w:sz w:val="20"/>
                <w:szCs w:val="20"/>
              </w:rPr>
            </w:pPr>
            <w:r>
              <w:rPr>
                <w:rFonts w:ascii="Arial Narrow" w:eastAsia="Times New Roman" w:hAnsi="Arial Narrow" w:cs="Times New Roman"/>
                <w:b/>
                <w:sz w:val="20"/>
                <w:szCs w:val="20"/>
              </w:rPr>
              <w:t>LOHP Program Administrators</w:t>
            </w:r>
          </w:p>
          <w:p w:rsidR="00DD09D7" w:rsidRPr="00845524" w:rsidRDefault="00DD09D7" w:rsidP="005C012E">
            <w:pPr>
              <w:rPr>
                <w:rFonts w:ascii="Arial Narrow" w:eastAsia="Times New Roman" w:hAnsi="Arial Narrow" w:cs="Times New Roman"/>
                <w:b/>
                <w:sz w:val="20"/>
                <w:szCs w:val="20"/>
              </w:rPr>
            </w:pPr>
            <w:r>
              <w:rPr>
                <w:rFonts w:ascii="Arial Narrow" w:eastAsia="Times New Roman" w:hAnsi="Arial Narrow" w:cs="Times New Roman"/>
                <w:noProof/>
                <w:sz w:val="20"/>
                <w:szCs w:val="20"/>
              </w:rPr>
              <w:t>LOHP Project Director</w:t>
            </w:r>
          </w:p>
          <w:p w:rsidR="00DD09D7" w:rsidRPr="00845524" w:rsidRDefault="00DD09D7" w:rsidP="005C012E">
            <w:pPr>
              <w:rPr>
                <w:rFonts w:ascii="Arial Narrow" w:eastAsia="Times New Roman" w:hAnsi="Arial Narrow" w:cs="Times New Roman"/>
                <w:sz w:val="20"/>
                <w:szCs w:val="20"/>
              </w:rPr>
            </w:pPr>
            <w:r>
              <w:rPr>
                <w:rFonts w:ascii="Arial Narrow" w:eastAsia="Times New Roman" w:hAnsi="Arial Narrow" w:cs="Times New Roman"/>
                <w:sz w:val="20"/>
                <w:szCs w:val="20"/>
              </w:rPr>
              <w:t>First 5 Kings County</w:t>
            </w:r>
          </w:p>
          <w:p w:rsidR="00DD09D7" w:rsidRDefault="00DD09D7" w:rsidP="005C012E">
            <w:pPr>
              <w:tabs>
                <w:tab w:val="left" w:pos="360"/>
              </w:tabs>
              <w:spacing w:before="60" w:after="60"/>
              <w:rPr>
                <w:rFonts w:ascii="Arial Narrow" w:eastAsia="Times New Roman" w:hAnsi="Arial Narrow" w:cs="Times New Roman"/>
                <w:sz w:val="20"/>
                <w:szCs w:val="20"/>
              </w:rPr>
            </w:pPr>
            <w:r>
              <w:rPr>
                <w:rFonts w:ascii="Arial Narrow" w:eastAsia="Times New Roman" w:hAnsi="Arial Narrow" w:cs="Times New Roman"/>
                <w:b/>
                <w:sz w:val="20"/>
                <w:szCs w:val="20"/>
              </w:rPr>
              <w:t>Partner Agencies</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Adventist Health</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Anthem</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Aria Community Health Center</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Central Valley Regional Center</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Champions Recovery</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Family Health Care Network</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First 5 Kings County</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Hanford Elementary School District (HESD)</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Kings Community Action Organization</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Kings County Office of Education (KCOE)</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 xml:space="preserve">Kings County Public Health </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Foster Care Health</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 xml:space="preserve">Maternal Child and Adolescent Health </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WIC</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Kings Partnership for Prevention</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Kings United Way</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Medi-Cal Dental (Delta)</w:t>
            </w:r>
          </w:p>
          <w:p w:rsidR="00DD09D7" w:rsidRPr="00155F73"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West Hills Community College</w:t>
            </w:r>
          </w:p>
          <w:p w:rsidR="00DD09D7" w:rsidRPr="00845524" w:rsidRDefault="00DD09D7" w:rsidP="005C012E">
            <w:pPr>
              <w:rPr>
                <w:rFonts w:ascii="Arial Narrow" w:eastAsia="Times New Roman" w:hAnsi="Arial Narrow"/>
                <w:b/>
                <w:color w:val="404040"/>
                <w:sz w:val="18"/>
                <w:szCs w:val="18"/>
              </w:rPr>
            </w:pPr>
            <w:r w:rsidRPr="00845524">
              <w:rPr>
                <w:rFonts w:ascii="Arial Narrow" w:eastAsia="Times New Roman" w:hAnsi="Arial Narrow" w:cs="Times New Roman"/>
                <w:noProof/>
                <w:sz w:val="20"/>
                <w:szCs w:val="20"/>
              </w:rPr>
              <w:t xml:space="preserve"> </w:t>
            </w:r>
          </w:p>
          <w:p w:rsidR="00DD09D7" w:rsidRDefault="00DD09D7" w:rsidP="005C012E">
            <w:pPr>
              <w:tabs>
                <w:tab w:val="left" w:pos="360"/>
              </w:tabs>
              <w:spacing w:before="60" w:after="60"/>
              <w:rPr>
                <w:rFonts w:ascii="Arial Narrow" w:eastAsia="Times New Roman" w:hAnsi="Arial Narrow" w:cs="Times New Roman"/>
                <w:sz w:val="20"/>
                <w:szCs w:val="20"/>
              </w:rPr>
            </w:pPr>
            <w:r>
              <w:rPr>
                <w:rFonts w:ascii="Arial Narrow" w:eastAsia="Times New Roman" w:hAnsi="Arial Narrow" w:cs="Times New Roman"/>
                <w:b/>
                <w:sz w:val="20"/>
                <w:szCs w:val="20"/>
              </w:rPr>
              <w:t>Consultants</w:t>
            </w:r>
          </w:p>
          <w:p w:rsidR="00DD09D7" w:rsidRDefault="00DD09D7" w:rsidP="005C012E">
            <w:pPr>
              <w:rPr>
                <w:rFonts w:ascii="Arial Narrow" w:eastAsia="Times New Roman" w:hAnsi="Arial Narrow" w:cs="Times New Roman"/>
                <w:noProof/>
                <w:sz w:val="20"/>
                <w:szCs w:val="20"/>
              </w:rPr>
            </w:pPr>
            <w:r w:rsidRPr="00155F73">
              <w:rPr>
                <w:rFonts w:ascii="Arial Narrow" w:eastAsia="Times New Roman" w:hAnsi="Arial Narrow" w:cs="Times New Roman"/>
                <w:noProof/>
                <w:sz w:val="20"/>
                <w:szCs w:val="20"/>
              </w:rPr>
              <w:t>Joel Diringer</w:t>
            </w:r>
          </w:p>
          <w:p w:rsidR="00DD09D7" w:rsidRPr="00845524" w:rsidRDefault="00DD09D7" w:rsidP="005C012E">
            <w:pPr>
              <w:rPr>
                <w:rFonts w:ascii="Arial Narrow" w:eastAsia="Times New Roman" w:hAnsi="Arial Narrow"/>
                <w:b/>
                <w:color w:val="404040"/>
                <w:sz w:val="18"/>
                <w:szCs w:val="18"/>
              </w:rPr>
            </w:pPr>
            <w:r w:rsidRPr="00981A0B">
              <w:rPr>
                <w:rFonts w:ascii="Arial Narrow" w:eastAsia="Times New Roman" w:hAnsi="Arial Narrow" w:cs="Times New Roman"/>
                <w:noProof/>
                <w:sz w:val="20"/>
                <w:szCs w:val="20"/>
              </w:rPr>
              <w:t>EMT Associates, Inc.</w:t>
            </w:r>
          </w:p>
        </w:tc>
        <w:tc>
          <w:tcPr>
            <w:tcW w:w="164" w:type="dxa"/>
            <w:tcBorders>
              <w:left w:val="single" w:sz="4" w:space="0" w:color="404040"/>
              <w:right w:val="single" w:sz="4" w:space="0" w:color="404040"/>
            </w:tcBorders>
            <w:tcMar>
              <w:top w:w="29" w:type="dxa"/>
              <w:left w:w="72" w:type="dxa"/>
              <w:bottom w:w="29" w:type="dxa"/>
              <w:right w:w="72" w:type="dxa"/>
            </w:tcMar>
          </w:tcPr>
          <w:p w:rsidR="00DD09D7" w:rsidRPr="00885EE2" w:rsidRDefault="00DD09D7" w:rsidP="005C012E">
            <w:pPr>
              <w:rPr>
                <w:rFonts w:ascii="Arial Narrow" w:eastAsia="Times New Roman" w:hAnsi="Arial Narrow" w:cs="Times New Roman"/>
                <w:sz w:val="20"/>
                <w:szCs w:val="20"/>
              </w:rPr>
            </w:pPr>
          </w:p>
        </w:tc>
        <w:tc>
          <w:tcPr>
            <w:tcW w:w="2507" w:type="dxa"/>
            <w:tcBorders>
              <w:top w:val="single" w:sz="4" w:space="0" w:color="404040"/>
              <w:left w:val="single" w:sz="4" w:space="0" w:color="404040"/>
              <w:bottom w:val="single" w:sz="4" w:space="0" w:color="404040"/>
              <w:right w:val="single" w:sz="4" w:space="0" w:color="404040"/>
            </w:tcBorders>
            <w:shd w:val="clear" w:color="auto" w:fill="F2F2F2"/>
            <w:tcMar>
              <w:top w:w="29" w:type="dxa"/>
              <w:left w:w="72" w:type="dxa"/>
              <w:bottom w:w="29" w:type="dxa"/>
              <w:right w:w="72" w:type="dxa"/>
            </w:tcMar>
          </w:tcPr>
          <w:p w:rsidR="00DD09D7" w:rsidRDefault="00666E4B" w:rsidP="00DD09D7">
            <w:pPr>
              <w:widowControl w:val="0"/>
              <w:numPr>
                <w:ilvl w:val="0"/>
                <w:numId w:val="17"/>
              </w:numPr>
              <w:tabs>
                <w:tab w:val="left" w:pos="361"/>
              </w:tabs>
              <w:spacing w:before="60" w:after="60"/>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 xml:space="preserve">Hire </w:t>
            </w:r>
            <w:r w:rsidR="00DD09D7">
              <w:rPr>
                <w:rFonts w:ascii="Arial Narrow" w:eastAsia="Times New Roman" w:hAnsi="Arial Narrow" w:cs="Times New Roman"/>
                <w:noProof/>
                <w:sz w:val="20"/>
                <w:szCs w:val="20"/>
              </w:rPr>
              <w:t>LOHP</w:t>
            </w:r>
            <w:r>
              <w:rPr>
                <w:rFonts w:ascii="Arial Narrow" w:eastAsia="Times New Roman" w:hAnsi="Arial Narrow" w:cs="Times New Roman"/>
                <w:noProof/>
                <w:sz w:val="20"/>
                <w:szCs w:val="20"/>
              </w:rPr>
              <w:t xml:space="preserve"> staff</w:t>
            </w:r>
          </w:p>
          <w:p w:rsidR="00DD09D7" w:rsidRDefault="00666E4B" w:rsidP="00DD09D7">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Form l</w:t>
            </w:r>
            <w:r w:rsidR="00DD09D7">
              <w:rPr>
                <w:rFonts w:ascii="Arial Narrow" w:eastAsia="Times New Roman" w:hAnsi="Arial Narrow" w:cs="Times New Roman"/>
                <w:noProof/>
                <w:sz w:val="20"/>
                <w:szCs w:val="20"/>
              </w:rPr>
              <w:t>ocal oral health coalition and part</w:t>
            </w:r>
            <w:r>
              <w:rPr>
                <w:rFonts w:ascii="Arial Narrow" w:eastAsia="Times New Roman" w:hAnsi="Arial Narrow" w:cs="Times New Roman"/>
                <w:noProof/>
                <w:sz w:val="20"/>
                <w:szCs w:val="20"/>
              </w:rPr>
              <w:t>n</w:t>
            </w:r>
            <w:r w:rsidR="00DD09D7">
              <w:rPr>
                <w:rFonts w:ascii="Arial Narrow" w:eastAsia="Times New Roman" w:hAnsi="Arial Narrow" w:cs="Times New Roman"/>
                <w:noProof/>
                <w:sz w:val="20"/>
                <w:szCs w:val="20"/>
              </w:rPr>
              <w:t>erships</w:t>
            </w:r>
          </w:p>
          <w:p w:rsidR="00DD09D7" w:rsidRDefault="00666E4B" w:rsidP="00DD09D7">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Implement p</w:t>
            </w:r>
            <w:r w:rsidR="00DD09D7" w:rsidRPr="00D30F63">
              <w:rPr>
                <w:rFonts w:ascii="Arial Narrow" w:eastAsia="Times New Roman" w:hAnsi="Arial Narrow" w:cs="Times New Roman"/>
                <w:noProof/>
                <w:sz w:val="20"/>
                <w:szCs w:val="20"/>
              </w:rPr>
              <w:t>ublic awareness and education campaigns on caries prevention</w:t>
            </w:r>
          </w:p>
          <w:p w:rsidR="00DD09D7" w:rsidRPr="0077623D" w:rsidRDefault="00666E4B" w:rsidP="00DD09D7">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Establish e</w:t>
            </w:r>
            <w:r w:rsidR="00DD09D7" w:rsidRPr="0077623D">
              <w:rPr>
                <w:rFonts w:ascii="Arial Narrow" w:eastAsia="Times New Roman" w:hAnsi="Arial Narrow" w:cs="Times New Roman"/>
                <w:noProof/>
                <w:sz w:val="20"/>
                <w:szCs w:val="20"/>
              </w:rPr>
              <w:t>arly childhood education tooth brushing programs</w:t>
            </w:r>
          </w:p>
          <w:p w:rsidR="00DD09D7" w:rsidRPr="00D30F63" w:rsidRDefault="00666E4B" w:rsidP="00DD09D7">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Establish f</w:t>
            </w:r>
            <w:r w:rsidR="00DD09D7" w:rsidRPr="00D30F63">
              <w:rPr>
                <w:rFonts w:ascii="Arial Narrow" w:eastAsia="Times New Roman" w:hAnsi="Arial Narrow" w:cs="Times New Roman"/>
                <w:noProof/>
                <w:sz w:val="20"/>
                <w:szCs w:val="20"/>
              </w:rPr>
              <w:t>luoride varnish community and health provider programs</w:t>
            </w:r>
          </w:p>
          <w:p w:rsidR="00DD09D7" w:rsidRPr="00D30F63" w:rsidRDefault="00666E4B" w:rsidP="00DD09D7">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Establish s</w:t>
            </w:r>
            <w:r w:rsidR="00DD09D7" w:rsidRPr="00D30F63">
              <w:rPr>
                <w:rFonts w:ascii="Arial Narrow" w:eastAsia="Times New Roman" w:hAnsi="Arial Narrow" w:cs="Times New Roman"/>
                <w:noProof/>
                <w:sz w:val="20"/>
                <w:szCs w:val="20"/>
              </w:rPr>
              <w:t>chool</w:t>
            </w:r>
            <w:r>
              <w:rPr>
                <w:rFonts w:ascii="Arial Narrow" w:eastAsia="Times New Roman" w:hAnsi="Arial Narrow" w:cs="Times New Roman"/>
                <w:noProof/>
                <w:sz w:val="20"/>
                <w:szCs w:val="20"/>
              </w:rPr>
              <w:t>-</w:t>
            </w:r>
            <w:r w:rsidR="00DD09D7" w:rsidRPr="00D30F63">
              <w:rPr>
                <w:rFonts w:ascii="Arial Narrow" w:eastAsia="Times New Roman" w:hAnsi="Arial Narrow" w:cs="Times New Roman"/>
                <w:noProof/>
                <w:sz w:val="20"/>
                <w:szCs w:val="20"/>
              </w:rPr>
              <w:t>based sealant programs</w:t>
            </w:r>
          </w:p>
          <w:p w:rsidR="00DD09D7" w:rsidRDefault="00666E4B" w:rsidP="00DD09D7">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Implement e</w:t>
            </w:r>
            <w:r w:rsidR="00DD09D7" w:rsidRPr="00D30F63">
              <w:rPr>
                <w:rFonts w:ascii="Arial Narrow" w:eastAsia="Times New Roman" w:hAnsi="Arial Narrow" w:cs="Times New Roman"/>
                <w:noProof/>
                <w:sz w:val="20"/>
                <w:szCs w:val="20"/>
              </w:rPr>
              <w:t xml:space="preserve">ducation campaign on </w:t>
            </w:r>
            <w:r>
              <w:rPr>
                <w:rFonts w:ascii="Arial Narrow" w:eastAsia="Times New Roman" w:hAnsi="Arial Narrow" w:cs="Times New Roman"/>
                <w:noProof/>
                <w:sz w:val="20"/>
                <w:szCs w:val="20"/>
              </w:rPr>
              <w:t>oral health care in pregnancy for</w:t>
            </w:r>
            <w:r w:rsidR="00DD09D7" w:rsidRPr="00D30F63">
              <w:rPr>
                <w:rFonts w:ascii="Arial Narrow" w:eastAsia="Times New Roman" w:hAnsi="Arial Narrow" w:cs="Times New Roman"/>
                <w:noProof/>
                <w:sz w:val="20"/>
                <w:szCs w:val="20"/>
              </w:rPr>
              <w:t xml:space="preserve"> pregnant women and providers</w:t>
            </w:r>
          </w:p>
          <w:p w:rsidR="00666E4B" w:rsidRPr="00D30F63" w:rsidRDefault="00666E4B" w:rsidP="00666E4B">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sidRPr="00D30F63">
              <w:rPr>
                <w:rFonts w:ascii="Arial Narrow" w:eastAsia="Times New Roman" w:hAnsi="Arial Narrow" w:cs="Times New Roman"/>
                <w:noProof/>
                <w:sz w:val="20"/>
                <w:szCs w:val="20"/>
              </w:rPr>
              <w:t>Educate schools on Kindergarten oral health assessment compliance</w:t>
            </w:r>
          </w:p>
          <w:p w:rsidR="00DD09D7" w:rsidRPr="00D30F63" w:rsidRDefault="00666E4B" w:rsidP="00DD09D7">
            <w:pPr>
              <w:widowControl w:val="0"/>
              <w:numPr>
                <w:ilvl w:val="0"/>
                <w:numId w:val="17"/>
              </w:numPr>
              <w:tabs>
                <w:tab w:val="left" w:pos="361"/>
              </w:tabs>
              <w:spacing w:before="100" w:beforeAutospacing="1"/>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Establish</w:t>
            </w:r>
            <w:r w:rsidR="00DD09D7" w:rsidRPr="00D30F63">
              <w:rPr>
                <w:rFonts w:ascii="Arial Narrow" w:eastAsia="Times New Roman" w:hAnsi="Arial Narrow" w:cs="Times New Roman"/>
                <w:noProof/>
                <w:sz w:val="20"/>
                <w:szCs w:val="20"/>
              </w:rPr>
              <w:t xml:space="preserve"> </w:t>
            </w:r>
            <w:r w:rsidR="00DD09D7">
              <w:rPr>
                <w:rFonts w:ascii="Arial Narrow" w:eastAsia="Times New Roman" w:hAnsi="Arial Narrow" w:cs="Times New Roman"/>
                <w:noProof/>
                <w:sz w:val="20"/>
                <w:szCs w:val="20"/>
              </w:rPr>
              <w:t>school-</w:t>
            </w:r>
            <w:r w:rsidR="00DD09D7" w:rsidRPr="00D30F63">
              <w:rPr>
                <w:rFonts w:ascii="Arial Narrow" w:eastAsia="Times New Roman" w:hAnsi="Arial Narrow" w:cs="Times New Roman"/>
                <w:noProof/>
                <w:sz w:val="20"/>
                <w:szCs w:val="20"/>
              </w:rPr>
              <w:t xml:space="preserve">based </w:t>
            </w:r>
            <w:r w:rsidR="00DD09D7">
              <w:rPr>
                <w:rFonts w:ascii="Arial Narrow" w:eastAsia="Times New Roman" w:hAnsi="Arial Narrow" w:cs="Times New Roman"/>
                <w:noProof/>
                <w:sz w:val="20"/>
                <w:szCs w:val="20"/>
              </w:rPr>
              <w:t xml:space="preserve">oral health </w:t>
            </w:r>
            <w:r w:rsidR="00DD09D7" w:rsidRPr="00D30F63">
              <w:rPr>
                <w:rFonts w:ascii="Arial Narrow" w:eastAsia="Times New Roman" w:hAnsi="Arial Narrow" w:cs="Times New Roman"/>
                <w:noProof/>
                <w:sz w:val="20"/>
                <w:szCs w:val="20"/>
              </w:rPr>
              <w:t>screening and referral programs</w:t>
            </w:r>
          </w:p>
          <w:p w:rsidR="00DD09D7" w:rsidRPr="00885EE2" w:rsidRDefault="00DD09D7" w:rsidP="00DD09D7">
            <w:pPr>
              <w:widowControl w:val="0"/>
              <w:numPr>
                <w:ilvl w:val="0"/>
                <w:numId w:val="17"/>
              </w:numPr>
              <w:tabs>
                <w:tab w:val="left" w:pos="361"/>
              </w:tabs>
              <w:spacing w:before="100" w:beforeAutospacing="1"/>
              <w:ind w:right="130" w:hanging="144"/>
              <w:rPr>
                <w:rFonts w:ascii="Arial Narrow" w:eastAsia="Times New Roman" w:hAnsi="Arial Narrow" w:cs="Times New Roman"/>
                <w:sz w:val="20"/>
                <w:szCs w:val="20"/>
              </w:rPr>
            </w:pPr>
            <w:r w:rsidRPr="00D30F63">
              <w:rPr>
                <w:rFonts w:ascii="Arial Narrow" w:eastAsia="Times New Roman" w:hAnsi="Arial Narrow" w:cs="Times New Roman"/>
                <w:noProof/>
                <w:sz w:val="20"/>
                <w:szCs w:val="20"/>
              </w:rPr>
              <w:t>Develop oral health surveillance system</w:t>
            </w:r>
          </w:p>
        </w:tc>
        <w:tc>
          <w:tcPr>
            <w:tcW w:w="270" w:type="dxa"/>
            <w:tcBorders>
              <w:left w:val="single" w:sz="4" w:space="0" w:color="404040"/>
              <w:right w:val="single" w:sz="4" w:space="0" w:color="404040"/>
            </w:tcBorders>
            <w:tcMar>
              <w:top w:w="29" w:type="dxa"/>
              <w:left w:w="72" w:type="dxa"/>
              <w:bottom w:w="29" w:type="dxa"/>
              <w:right w:w="72" w:type="dxa"/>
            </w:tcMar>
          </w:tcPr>
          <w:p w:rsidR="00DD09D7" w:rsidRPr="00845524" w:rsidRDefault="00DD09D7" w:rsidP="005C012E">
            <w:pPr>
              <w:jc w:val="center"/>
              <w:rPr>
                <w:rFonts w:ascii="Arial Narrow" w:eastAsia="Times New Roman" w:hAnsi="Arial Narrow"/>
                <w:color w:val="404040"/>
                <w:sz w:val="18"/>
                <w:szCs w:val="18"/>
              </w:rPr>
            </w:pPr>
          </w:p>
        </w:tc>
        <w:tc>
          <w:tcPr>
            <w:tcW w:w="2624" w:type="dxa"/>
            <w:tcBorders>
              <w:top w:val="single" w:sz="4" w:space="0" w:color="404040"/>
              <w:left w:val="single" w:sz="4" w:space="0" w:color="404040"/>
              <w:bottom w:val="single" w:sz="4" w:space="0" w:color="404040"/>
              <w:right w:val="single" w:sz="4" w:space="0" w:color="404040"/>
            </w:tcBorders>
            <w:shd w:val="clear" w:color="auto" w:fill="F2F2F2"/>
            <w:tcMar>
              <w:top w:w="29" w:type="dxa"/>
              <w:left w:w="72" w:type="dxa"/>
              <w:bottom w:w="29" w:type="dxa"/>
              <w:right w:w="72" w:type="dxa"/>
            </w:tcMar>
          </w:tcPr>
          <w:p w:rsidR="00DD09D7" w:rsidRDefault="00DD09D7" w:rsidP="00DD09D7">
            <w:pPr>
              <w:widowControl w:val="0"/>
              <w:numPr>
                <w:ilvl w:val="0"/>
                <w:numId w:val="17"/>
              </w:numPr>
              <w:tabs>
                <w:tab w:val="left" w:pos="361"/>
              </w:tabs>
              <w:spacing w:before="60" w:after="60"/>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Staff hired</w:t>
            </w:r>
          </w:p>
          <w:p w:rsidR="00DD09D7" w:rsidRDefault="00DD09D7" w:rsidP="00DD09D7">
            <w:pPr>
              <w:widowControl w:val="0"/>
              <w:numPr>
                <w:ilvl w:val="0"/>
                <w:numId w:val="17"/>
              </w:numPr>
              <w:tabs>
                <w:tab w:val="left" w:pos="361"/>
              </w:tabs>
              <w:spacing w:before="60" w:after="60"/>
              <w:ind w:right="130" w:hanging="144"/>
              <w:rPr>
                <w:rFonts w:ascii="Arial Narrow" w:eastAsia="Times New Roman" w:hAnsi="Arial Narrow" w:cs="Times New Roman"/>
                <w:noProof/>
                <w:sz w:val="20"/>
                <w:szCs w:val="20"/>
              </w:rPr>
            </w:pPr>
            <w:r>
              <w:rPr>
                <w:rFonts w:ascii="Arial Narrow" w:eastAsia="Times New Roman" w:hAnsi="Arial Narrow" w:cs="Times New Roman"/>
                <w:noProof/>
                <w:sz w:val="20"/>
                <w:szCs w:val="20"/>
              </w:rPr>
              <w:t>Number of coalition meetings held and number of coalition members in attendance</w:t>
            </w:r>
          </w:p>
          <w:p w:rsidR="00DD09D7" w:rsidRPr="007F3029" w:rsidRDefault="00DD09D7" w:rsidP="00DD09D7">
            <w:pPr>
              <w:pStyle w:val="ListParagraph"/>
              <w:numPr>
                <w:ilvl w:val="0"/>
                <w:numId w:val="17"/>
              </w:numPr>
              <w:ind w:right="432" w:hanging="144"/>
              <w:contextualSpacing/>
              <w:rPr>
                <w:rFonts w:ascii="Arial Narrow" w:eastAsia="Times New Roman" w:hAnsi="Arial Narrow" w:cs="Times New Roman"/>
                <w:noProof/>
                <w:sz w:val="20"/>
                <w:szCs w:val="20"/>
              </w:rPr>
            </w:pPr>
            <w:r w:rsidRPr="007F3029">
              <w:rPr>
                <w:rFonts w:ascii="Arial Narrow" w:eastAsia="Times New Roman" w:hAnsi="Arial Narrow" w:cs="Times New Roman"/>
                <w:noProof/>
                <w:sz w:val="20"/>
                <w:szCs w:val="20"/>
              </w:rPr>
              <w:t xml:space="preserve">Number of health and dental provider trainings </w:t>
            </w:r>
            <w:r>
              <w:rPr>
                <w:rFonts w:ascii="Arial Narrow" w:eastAsia="Times New Roman" w:hAnsi="Arial Narrow" w:cs="Times New Roman"/>
                <w:noProof/>
                <w:sz w:val="20"/>
                <w:szCs w:val="20"/>
              </w:rPr>
              <w:t xml:space="preserve">delivered </w:t>
            </w:r>
            <w:r w:rsidRPr="007F3029">
              <w:rPr>
                <w:rFonts w:ascii="Arial Narrow" w:eastAsia="Times New Roman" w:hAnsi="Arial Narrow" w:cs="Times New Roman"/>
                <w:noProof/>
                <w:sz w:val="20"/>
                <w:szCs w:val="20"/>
              </w:rPr>
              <w:t xml:space="preserve">on </w:t>
            </w:r>
            <w:r w:rsidR="00666E4B">
              <w:rPr>
                <w:rFonts w:ascii="Arial Narrow" w:eastAsia="Times New Roman" w:hAnsi="Arial Narrow" w:cs="Times New Roman"/>
                <w:noProof/>
                <w:sz w:val="20"/>
                <w:szCs w:val="20"/>
              </w:rPr>
              <w:t>oral health</w:t>
            </w:r>
            <w:r w:rsidRPr="007F3029">
              <w:rPr>
                <w:rFonts w:ascii="Arial Narrow" w:eastAsia="Times New Roman" w:hAnsi="Arial Narrow" w:cs="Times New Roman"/>
                <w:noProof/>
                <w:sz w:val="20"/>
                <w:szCs w:val="20"/>
              </w:rPr>
              <w:t xml:space="preserve"> care </w:t>
            </w:r>
            <w:r w:rsidR="00666E4B">
              <w:rPr>
                <w:rFonts w:ascii="Arial Narrow" w:eastAsia="Times New Roman" w:hAnsi="Arial Narrow" w:cs="Times New Roman"/>
                <w:noProof/>
                <w:sz w:val="20"/>
                <w:szCs w:val="20"/>
              </w:rPr>
              <w:t>in</w:t>
            </w:r>
            <w:r w:rsidRPr="007F3029">
              <w:rPr>
                <w:rFonts w:ascii="Arial Narrow" w:eastAsia="Times New Roman" w:hAnsi="Arial Narrow" w:cs="Times New Roman"/>
                <w:noProof/>
                <w:sz w:val="20"/>
                <w:szCs w:val="20"/>
              </w:rPr>
              <w:t xml:space="preserve"> pregnancy</w:t>
            </w:r>
            <w:r>
              <w:rPr>
                <w:rFonts w:ascii="Arial Narrow" w:eastAsia="Times New Roman" w:hAnsi="Arial Narrow" w:cs="Times New Roman"/>
                <w:noProof/>
                <w:sz w:val="20"/>
                <w:szCs w:val="20"/>
              </w:rPr>
              <w:t xml:space="preserve"> and number of providers trained</w:t>
            </w:r>
          </w:p>
          <w:p w:rsidR="00DD09D7" w:rsidRPr="00241D3A" w:rsidRDefault="00DD09D7" w:rsidP="00DD09D7">
            <w:pPr>
              <w:widowControl w:val="0"/>
              <w:numPr>
                <w:ilvl w:val="0"/>
                <w:numId w:val="17"/>
              </w:numPr>
              <w:tabs>
                <w:tab w:val="left" w:pos="361"/>
              </w:tabs>
              <w:spacing w:before="60" w:after="60"/>
              <w:ind w:right="130" w:hanging="144"/>
              <w:rPr>
                <w:rFonts w:ascii="Arial Narrow" w:eastAsia="Times New Roman" w:hAnsi="Arial Narrow" w:cs="Times New Roman"/>
                <w:noProof/>
                <w:sz w:val="20"/>
                <w:szCs w:val="20"/>
              </w:rPr>
            </w:pPr>
            <w:r w:rsidRPr="00241D3A">
              <w:rPr>
                <w:rFonts w:ascii="Arial Narrow" w:eastAsia="Times New Roman" w:hAnsi="Arial Narrow" w:cs="Times New Roman"/>
                <w:noProof/>
                <w:sz w:val="20"/>
                <w:szCs w:val="20"/>
              </w:rPr>
              <w:t xml:space="preserve">Number of preschool programs implementing fluoride varnish programs and number of children receiving fluoride varnish </w:t>
            </w:r>
          </w:p>
          <w:p w:rsidR="00DD09D7" w:rsidRPr="003E16F1" w:rsidRDefault="00DD09D7" w:rsidP="00DD09D7">
            <w:pPr>
              <w:widowControl w:val="0"/>
              <w:numPr>
                <w:ilvl w:val="0"/>
                <w:numId w:val="17"/>
              </w:numPr>
              <w:tabs>
                <w:tab w:val="left" w:pos="361"/>
              </w:tabs>
              <w:spacing w:before="60" w:after="60"/>
              <w:ind w:right="130" w:hanging="144"/>
              <w:rPr>
                <w:rFonts w:ascii="Arial Narrow" w:eastAsia="Times New Roman" w:hAnsi="Arial Narrow" w:cs="Times New Roman"/>
                <w:noProof/>
                <w:sz w:val="20"/>
                <w:szCs w:val="20"/>
              </w:rPr>
            </w:pPr>
            <w:r w:rsidRPr="003E16F1">
              <w:rPr>
                <w:rFonts w:ascii="Arial Narrow" w:eastAsia="Times New Roman" w:hAnsi="Arial Narrow" w:cs="Times New Roman"/>
                <w:noProof/>
                <w:sz w:val="20"/>
                <w:szCs w:val="20"/>
              </w:rPr>
              <w:t>Number of preschool programs implementing toothbrushing programs</w:t>
            </w:r>
          </w:p>
          <w:p w:rsidR="00DD09D7" w:rsidRPr="003E16F1" w:rsidRDefault="00DD09D7" w:rsidP="00DD09D7">
            <w:pPr>
              <w:widowControl w:val="0"/>
              <w:numPr>
                <w:ilvl w:val="0"/>
                <w:numId w:val="17"/>
              </w:numPr>
              <w:tabs>
                <w:tab w:val="left" w:pos="361"/>
              </w:tabs>
              <w:spacing w:before="60" w:after="60"/>
              <w:ind w:right="130" w:hanging="144"/>
              <w:rPr>
                <w:rFonts w:ascii="Arial Narrow" w:eastAsia="Times New Roman" w:hAnsi="Arial Narrow" w:cs="Times New Roman"/>
                <w:noProof/>
                <w:sz w:val="20"/>
                <w:szCs w:val="20"/>
              </w:rPr>
            </w:pPr>
            <w:r w:rsidRPr="003E16F1">
              <w:rPr>
                <w:rFonts w:ascii="Arial Narrow" w:eastAsia="Times New Roman" w:hAnsi="Arial Narrow" w:cs="Times New Roman"/>
                <w:noProof/>
                <w:sz w:val="20"/>
                <w:szCs w:val="20"/>
              </w:rPr>
              <w:t>Number of schools with school-based or school-linked dental sealant programs</w:t>
            </w:r>
          </w:p>
          <w:p w:rsidR="00DD09D7" w:rsidRPr="00666E4B" w:rsidRDefault="00DD09D7" w:rsidP="00DD09D7">
            <w:pPr>
              <w:widowControl w:val="0"/>
              <w:numPr>
                <w:ilvl w:val="0"/>
                <w:numId w:val="17"/>
              </w:numPr>
              <w:tabs>
                <w:tab w:val="left" w:pos="361"/>
              </w:tabs>
              <w:spacing w:before="60" w:after="60"/>
              <w:ind w:right="130" w:hanging="144"/>
              <w:rPr>
                <w:rFonts w:ascii="Arial Narrow" w:eastAsia="Times New Roman" w:hAnsi="Arial Narrow"/>
                <w:color w:val="404040"/>
                <w:sz w:val="18"/>
                <w:szCs w:val="18"/>
              </w:rPr>
            </w:pPr>
            <w:r w:rsidRPr="003E16F1">
              <w:rPr>
                <w:rFonts w:ascii="Arial Narrow" w:eastAsia="Times New Roman" w:hAnsi="Arial Narrow" w:cs="Times New Roman"/>
                <w:noProof/>
                <w:sz w:val="20"/>
                <w:szCs w:val="20"/>
              </w:rPr>
              <w:t>Number of schools with a school-based oral health screening, referral and case management program</w:t>
            </w:r>
          </w:p>
          <w:p w:rsidR="00666E4B" w:rsidRPr="003E16F1" w:rsidRDefault="00666E4B" w:rsidP="00666E4B">
            <w:pPr>
              <w:widowControl w:val="0"/>
              <w:numPr>
                <w:ilvl w:val="0"/>
                <w:numId w:val="17"/>
              </w:numPr>
              <w:tabs>
                <w:tab w:val="left" w:pos="361"/>
              </w:tabs>
              <w:spacing w:before="60" w:after="60"/>
              <w:ind w:right="130" w:hanging="144"/>
              <w:rPr>
                <w:rFonts w:ascii="Arial Narrow" w:eastAsia="Times New Roman" w:hAnsi="Arial Narrow" w:cs="Times New Roman"/>
                <w:noProof/>
                <w:sz w:val="20"/>
                <w:szCs w:val="20"/>
              </w:rPr>
            </w:pPr>
            <w:r w:rsidRPr="003E16F1">
              <w:rPr>
                <w:rFonts w:ascii="Arial Narrow" w:eastAsia="Times New Roman" w:hAnsi="Arial Narrow" w:cs="Times New Roman"/>
                <w:noProof/>
                <w:sz w:val="20"/>
                <w:szCs w:val="20"/>
              </w:rPr>
              <w:t xml:space="preserve">Number of public schools </w:t>
            </w:r>
            <w:r>
              <w:rPr>
                <w:rFonts w:ascii="Arial Narrow" w:eastAsia="Times New Roman" w:hAnsi="Arial Narrow" w:cs="Times New Roman"/>
                <w:noProof/>
                <w:sz w:val="20"/>
                <w:szCs w:val="20"/>
              </w:rPr>
              <w:t>submitting data for the Kindergarten Oral Health Assessment</w:t>
            </w:r>
            <w:r w:rsidRPr="003E16F1">
              <w:rPr>
                <w:rFonts w:ascii="Arial Narrow" w:eastAsia="Times New Roman" w:hAnsi="Arial Narrow" w:cs="Times New Roman"/>
                <w:noProof/>
                <w:sz w:val="20"/>
                <w:szCs w:val="20"/>
              </w:rPr>
              <w:t xml:space="preserve"> </w:t>
            </w:r>
          </w:p>
          <w:p w:rsidR="00666E4B" w:rsidRPr="00845524" w:rsidRDefault="00666E4B" w:rsidP="00666E4B">
            <w:pPr>
              <w:widowControl w:val="0"/>
              <w:tabs>
                <w:tab w:val="left" w:pos="361"/>
              </w:tabs>
              <w:spacing w:before="60" w:after="60"/>
              <w:ind w:left="144" w:right="130"/>
              <w:rPr>
                <w:rFonts w:ascii="Arial Narrow" w:eastAsia="Times New Roman" w:hAnsi="Arial Narrow"/>
                <w:color w:val="404040"/>
                <w:sz w:val="18"/>
                <w:szCs w:val="18"/>
              </w:rPr>
            </w:pPr>
          </w:p>
        </w:tc>
        <w:tc>
          <w:tcPr>
            <w:tcW w:w="255" w:type="dxa"/>
            <w:tcBorders>
              <w:left w:val="single" w:sz="4" w:space="0" w:color="404040"/>
              <w:right w:val="single" w:sz="4" w:space="0" w:color="404040"/>
            </w:tcBorders>
            <w:tcMar>
              <w:top w:w="29" w:type="dxa"/>
              <w:left w:w="72" w:type="dxa"/>
              <w:bottom w:w="29" w:type="dxa"/>
              <w:right w:w="72" w:type="dxa"/>
            </w:tcMar>
          </w:tcPr>
          <w:p w:rsidR="00DD09D7" w:rsidRPr="00845524" w:rsidRDefault="00DD09D7" w:rsidP="005C012E">
            <w:pPr>
              <w:rPr>
                <w:rFonts w:ascii="Arial Narrow" w:eastAsia="Times New Roman" w:hAnsi="Arial Narrow"/>
                <w:color w:val="404040"/>
                <w:sz w:val="18"/>
                <w:szCs w:val="18"/>
              </w:rPr>
            </w:pPr>
          </w:p>
        </w:tc>
        <w:tc>
          <w:tcPr>
            <w:tcW w:w="2881" w:type="dxa"/>
            <w:tcBorders>
              <w:top w:val="single" w:sz="4" w:space="0" w:color="404040"/>
              <w:left w:val="single" w:sz="4" w:space="0" w:color="404040"/>
              <w:bottom w:val="single" w:sz="4" w:space="0" w:color="404040"/>
              <w:right w:val="single" w:sz="4" w:space="0" w:color="404040"/>
            </w:tcBorders>
            <w:shd w:val="clear" w:color="auto" w:fill="F2F2F2"/>
            <w:tcMar>
              <w:top w:w="29" w:type="dxa"/>
              <w:left w:w="72" w:type="dxa"/>
              <w:bottom w:w="29" w:type="dxa"/>
              <w:right w:w="72" w:type="dxa"/>
            </w:tcMar>
          </w:tcPr>
          <w:p w:rsidR="00DD09D7" w:rsidRPr="00885EE2" w:rsidRDefault="00DD09D7" w:rsidP="005C012E">
            <w:pPr>
              <w:rPr>
                <w:rFonts w:ascii="Arial Narrow" w:eastAsia="Times New Roman" w:hAnsi="Arial Narrow" w:cs="Times New Roman"/>
                <w:b/>
                <w:sz w:val="20"/>
                <w:szCs w:val="20"/>
              </w:rPr>
            </w:pPr>
            <w:r w:rsidRPr="00885EE2">
              <w:rPr>
                <w:rFonts w:ascii="Arial Narrow" w:eastAsia="Times New Roman" w:hAnsi="Arial Narrow" w:cs="Times New Roman"/>
                <w:b/>
                <w:sz w:val="20"/>
                <w:szCs w:val="20"/>
              </w:rPr>
              <w:t>Short Term</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Increased capacity</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Enhanced collaboration</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Targeted surveillance</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Collaborative communications</w:t>
            </w:r>
          </w:p>
          <w:p w:rsidR="00DD09D7" w:rsidRPr="00885EE2" w:rsidRDefault="00DD09D7" w:rsidP="00DD09D7">
            <w:pPr>
              <w:pStyle w:val="ListParagraph"/>
              <w:numPr>
                <w:ilvl w:val="0"/>
                <w:numId w:val="16"/>
              </w:numPr>
              <w:spacing w:after="120"/>
              <w:ind w:left="302" w:hanging="158"/>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Coordinated system to address specific needs</w:t>
            </w:r>
          </w:p>
          <w:p w:rsidR="00DD09D7" w:rsidRPr="00885EE2" w:rsidRDefault="00DD09D7" w:rsidP="005C012E">
            <w:pPr>
              <w:rPr>
                <w:rFonts w:ascii="Arial Narrow" w:eastAsia="Times New Roman" w:hAnsi="Arial Narrow" w:cs="Times New Roman"/>
                <w:b/>
                <w:sz w:val="20"/>
                <w:szCs w:val="20"/>
              </w:rPr>
            </w:pPr>
            <w:r w:rsidRPr="00885EE2">
              <w:rPr>
                <w:rFonts w:ascii="Arial Narrow" w:eastAsia="Times New Roman" w:hAnsi="Arial Narrow" w:cs="Times New Roman"/>
                <w:b/>
                <w:sz w:val="20"/>
                <w:szCs w:val="20"/>
              </w:rPr>
              <w:t>Intermediate</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Increased number of engaged partners</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Increased number of policies and programs that support oral health</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Increased engagement of dental, medical and social services workforce</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 xml:space="preserve">Increased number of </w:t>
            </w:r>
            <w:r w:rsidR="00261631">
              <w:rPr>
                <w:rFonts w:ascii="Arial Narrow" w:eastAsia="Times New Roman" w:hAnsi="Arial Narrow" w:cs="Times New Roman"/>
                <w:noProof/>
                <w:sz w:val="20"/>
                <w:szCs w:val="20"/>
              </w:rPr>
              <w:t xml:space="preserve">children </w:t>
            </w:r>
            <w:r w:rsidRPr="00885EE2">
              <w:rPr>
                <w:rFonts w:ascii="Arial Narrow" w:eastAsia="Times New Roman" w:hAnsi="Arial Narrow" w:cs="Times New Roman"/>
                <w:noProof/>
                <w:sz w:val="20"/>
                <w:szCs w:val="20"/>
              </w:rPr>
              <w:t>engaged in healthier habits</w:t>
            </w:r>
          </w:p>
          <w:p w:rsidR="00DD09D7" w:rsidRDefault="00DD09D7" w:rsidP="00DD09D7">
            <w:pPr>
              <w:pStyle w:val="ListParagraph"/>
              <w:numPr>
                <w:ilvl w:val="0"/>
                <w:numId w:val="16"/>
              </w:numPr>
              <w:spacing w:after="120"/>
              <w:ind w:left="302" w:hanging="158"/>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Increased number of people receiving evidence-based interventions</w:t>
            </w:r>
          </w:p>
          <w:p w:rsidR="00DD09D7" w:rsidRPr="00885EE2" w:rsidRDefault="00DD09D7" w:rsidP="00DD09D7">
            <w:pPr>
              <w:pStyle w:val="ListParagraph"/>
              <w:numPr>
                <w:ilvl w:val="0"/>
                <w:numId w:val="16"/>
              </w:numPr>
              <w:spacing w:after="120"/>
              <w:ind w:left="302" w:hanging="158"/>
              <w:contextualSpacing/>
              <w:rPr>
                <w:rFonts w:ascii="Arial Narrow" w:eastAsia="Times New Roman" w:hAnsi="Arial Narrow" w:cs="Times New Roman"/>
                <w:noProof/>
                <w:sz w:val="20"/>
                <w:szCs w:val="20"/>
              </w:rPr>
            </w:pPr>
            <w:r>
              <w:rPr>
                <w:rFonts w:ascii="Arial Narrow" w:eastAsia="Times New Roman" w:hAnsi="Arial Narrow" w:cs="Times New Roman"/>
                <w:noProof/>
                <w:sz w:val="20"/>
                <w:szCs w:val="20"/>
              </w:rPr>
              <w:t>Increased access to preventive oral health services and linkage to oral heath treatment.</w:t>
            </w:r>
          </w:p>
          <w:p w:rsidR="00DD09D7" w:rsidRPr="00885EE2" w:rsidRDefault="00DD09D7" w:rsidP="005C012E">
            <w:pPr>
              <w:rPr>
                <w:rFonts w:ascii="Arial Narrow" w:eastAsia="Times New Roman" w:hAnsi="Arial Narrow" w:cs="Times New Roman"/>
                <w:b/>
                <w:sz w:val="20"/>
                <w:szCs w:val="20"/>
              </w:rPr>
            </w:pPr>
            <w:r w:rsidRPr="00885EE2">
              <w:rPr>
                <w:rFonts w:ascii="Arial Narrow" w:eastAsia="Times New Roman" w:hAnsi="Arial Narrow" w:cs="Times New Roman"/>
                <w:b/>
                <w:sz w:val="20"/>
                <w:szCs w:val="20"/>
              </w:rPr>
              <w:t>Long Term</w:t>
            </w:r>
          </w:p>
          <w:p w:rsidR="00DD09D7" w:rsidRPr="00E03F17" w:rsidRDefault="00DD09D7" w:rsidP="005C012E">
            <w:pPr>
              <w:rPr>
                <w:rFonts w:ascii="Arial Narrow" w:eastAsia="Times New Roman" w:hAnsi="Arial Narrow" w:cs="Times New Roman"/>
                <w:noProof/>
                <w:sz w:val="20"/>
                <w:szCs w:val="20"/>
              </w:rPr>
            </w:pPr>
            <w:r w:rsidRPr="00E03F17">
              <w:rPr>
                <w:rFonts w:ascii="Arial Narrow" w:eastAsia="Times New Roman" w:hAnsi="Arial Narrow" w:cs="Times New Roman"/>
                <w:noProof/>
                <w:sz w:val="20"/>
                <w:szCs w:val="20"/>
              </w:rPr>
              <w:t>Reduction</w:t>
            </w:r>
            <w:r w:rsidR="00261631">
              <w:rPr>
                <w:rFonts w:ascii="Arial Narrow" w:eastAsia="Times New Roman" w:hAnsi="Arial Narrow" w:cs="Times New Roman"/>
                <w:noProof/>
                <w:sz w:val="20"/>
                <w:szCs w:val="20"/>
              </w:rPr>
              <w:t>s</w:t>
            </w:r>
            <w:r w:rsidRPr="00E03F17">
              <w:rPr>
                <w:rFonts w:ascii="Arial Narrow" w:eastAsia="Times New Roman" w:hAnsi="Arial Narrow" w:cs="Times New Roman"/>
                <w:noProof/>
                <w:sz w:val="20"/>
                <w:szCs w:val="20"/>
              </w:rPr>
              <w:t xml:space="preserve"> in</w:t>
            </w:r>
            <w:r w:rsidR="00261631">
              <w:rPr>
                <w:rFonts w:ascii="Arial Narrow" w:eastAsia="Times New Roman" w:hAnsi="Arial Narrow" w:cs="Times New Roman"/>
                <w:noProof/>
                <w:sz w:val="20"/>
                <w:szCs w:val="20"/>
              </w:rPr>
              <w:t>:</w:t>
            </w:r>
          </w:p>
          <w:p w:rsidR="00DD09D7" w:rsidRPr="00885EE2" w:rsidRDefault="00DD09D7" w:rsidP="00DD09D7">
            <w:pPr>
              <w:pStyle w:val="ListParagraph"/>
              <w:numPr>
                <w:ilvl w:val="0"/>
                <w:numId w:val="16"/>
              </w:numPr>
              <w:ind w:left="294" w:hanging="156"/>
              <w:contextualSpacing/>
              <w:rPr>
                <w:rFonts w:ascii="Arial Narrow" w:eastAsia="Times New Roman" w:hAnsi="Arial Narrow" w:cs="Times New Roman"/>
                <w:noProof/>
                <w:sz w:val="20"/>
                <w:szCs w:val="20"/>
              </w:rPr>
            </w:pPr>
            <w:r w:rsidRPr="00885EE2">
              <w:rPr>
                <w:rFonts w:ascii="Arial Narrow" w:eastAsia="Times New Roman" w:hAnsi="Arial Narrow" w:cs="Times New Roman"/>
                <w:noProof/>
                <w:sz w:val="20"/>
                <w:szCs w:val="20"/>
              </w:rPr>
              <w:t>Dental caries prevalence &amp; untreated caries as measured in kindergarten and 3rd grade children</w:t>
            </w:r>
          </w:p>
          <w:p w:rsidR="00DD09D7" w:rsidRPr="00845524" w:rsidRDefault="00DD09D7" w:rsidP="00DD09D7">
            <w:pPr>
              <w:pStyle w:val="ListParagraph"/>
              <w:numPr>
                <w:ilvl w:val="0"/>
                <w:numId w:val="16"/>
              </w:numPr>
              <w:ind w:left="294" w:hanging="156"/>
              <w:contextualSpacing/>
              <w:rPr>
                <w:rFonts w:ascii="Arial Narrow" w:eastAsia="Times New Roman" w:hAnsi="Arial Narrow"/>
                <w:color w:val="404040"/>
                <w:sz w:val="18"/>
                <w:szCs w:val="18"/>
              </w:rPr>
            </w:pPr>
            <w:r>
              <w:rPr>
                <w:rFonts w:ascii="Arial Narrow" w:eastAsia="Times New Roman" w:hAnsi="Arial Narrow" w:cs="Times New Roman"/>
                <w:noProof/>
                <w:sz w:val="20"/>
                <w:szCs w:val="20"/>
              </w:rPr>
              <w:t>H</w:t>
            </w:r>
            <w:r w:rsidRPr="00885EE2">
              <w:rPr>
                <w:rFonts w:ascii="Arial Narrow" w:eastAsia="Times New Roman" w:hAnsi="Arial Narrow" w:cs="Times New Roman"/>
                <w:noProof/>
                <w:sz w:val="20"/>
                <w:szCs w:val="20"/>
              </w:rPr>
              <w:t>ealth disparities</w:t>
            </w:r>
            <w:r w:rsidRPr="00261631">
              <w:rPr>
                <w:rFonts w:ascii="Arial Narrow" w:eastAsia="Times New Roman" w:hAnsi="Arial Narrow" w:cs="Times New Roman"/>
                <w:noProof/>
                <w:sz w:val="20"/>
                <w:szCs w:val="20"/>
              </w:rPr>
              <w:t xml:space="preserve"> </w:t>
            </w:r>
            <w:r w:rsidR="00261631" w:rsidRPr="00261631">
              <w:rPr>
                <w:rFonts w:ascii="Arial Narrow" w:eastAsia="Times New Roman" w:hAnsi="Arial Narrow" w:cs="Times New Roman"/>
                <w:noProof/>
                <w:sz w:val="20"/>
                <w:szCs w:val="20"/>
              </w:rPr>
              <w:t>for underserved populations and communities</w:t>
            </w:r>
          </w:p>
        </w:tc>
        <w:tc>
          <w:tcPr>
            <w:tcW w:w="270" w:type="dxa"/>
            <w:tcBorders>
              <w:left w:val="single" w:sz="4" w:space="0" w:color="404040"/>
              <w:right w:val="single" w:sz="4" w:space="0" w:color="404040"/>
            </w:tcBorders>
            <w:tcMar>
              <w:top w:w="29" w:type="dxa"/>
              <w:left w:w="72" w:type="dxa"/>
              <w:bottom w:w="29" w:type="dxa"/>
              <w:right w:w="72" w:type="dxa"/>
            </w:tcMar>
          </w:tcPr>
          <w:p w:rsidR="00DD09D7" w:rsidRPr="00845524" w:rsidRDefault="00DD09D7" w:rsidP="005C012E">
            <w:pPr>
              <w:rPr>
                <w:rFonts w:ascii="Arial Narrow" w:eastAsia="Times New Roman" w:hAnsi="Arial Narrow"/>
                <w:color w:val="404040"/>
                <w:sz w:val="18"/>
                <w:szCs w:val="18"/>
              </w:rPr>
            </w:pPr>
          </w:p>
        </w:tc>
        <w:tc>
          <w:tcPr>
            <w:tcW w:w="2520" w:type="dxa"/>
            <w:tcBorders>
              <w:top w:val="single" w:sz="4" w:space="0" w:color="404040"/>
              <w:left w:val="single" w:sz="4" w:space="0" w:color="404040"/>
              <w:bottom w:val="single" w:sz="4" w:space="0" w:color="404040"/>
              <w:right w:val="single" w:sz="4" w:space="0" w:color="auto"/>
            </w:tcBorders>
            <w:shd w:val="clear" w:color="auto" w:fill="F2F2F2"/>
            <w:tcMar>
              <w:top w:w="29" w:type="dxa"/>
              <w:left w:w="72" w:type="dxa"/>
              <w:bottom w:w="29" w:type="dxa"/>
              <w:right w:w="72" w:type="dxa"/>
            </w:tcMar>
          </w:tcPr>
          <w:p w:rsidR="00DD09D7" w:rsidRPr="00D30F63" w:rsidRDefault="00DD09D7" w:rsidP="00DD09D7">
            <w:pPr>
              <w:pStyle w:val="ListParagraph"/>
              <w:numPr>
                <w:ilvl w:val="0"/>
                <w:numId w:val="16"/>
              </w:numPr>
              <w:ind w:left="198" w:hanging="156"/>
              <w:contextualSpacing/>
              <w:rPr>
                <w:rFonts w:ascii="Arial Narrow" w:eastAsia="Times New Roman" w:hAnsi="Arial Narrow" w:cs="Times New Roman"/>
                <w:noProof/>
                <w:sz w:val="20"/>
                <w:szCs w:val="20"/>
              </w:rPr>
            </w:pPr>
            <w:r w:rsidRPr="00D30F63">
              <w:rPr>
                <w:rFonts w:ascii="Arial Narrow" w:eastAsia="Times New Roman" w:hAnsi="Arial Narrow" w:cs="Times New Roman"/>
                <w:noProof/>
                <w:sz w:val="20"/>
                <w:szCs w:val="20"/>
              </w:rPr>
              <w:t>Establish topical fluoride varnish through community programs by end of 2020. .</w:t>
            </w:r>
          </w:p>
          <w:p w:rsidR="00DD09D7" w:rsidRPr="00D30F63" w:rsidRDefault="00DD09D7" w:rsidP="00DD09D7">
            <w:pPr>
              <w:pStyle w:val="ListParagraph"/>
              <w:numPr>
                <w:ilvl w:val="0"/>
                <w:numId w:val="16"/>
              </w:numPr>
              <w:ind w:left="198" w:hanging="156"/>
              <w:contextualSpacing/>
              <w:rPr>
                <w:rFonts w:ascii="Arial Narrow" w:eastAsia="Times New Roman" w:hAnsi="Arial Narrow" w:cs="Times New Roman"/>
                <w:noProof/>
                <w:sz w:val="20"/>
                <w:szCs w:val="20"/>
              </w:rPr>
            </w:pPr>
            <w:r w:rsidRPr="00D30F63">
              <w:rPr>
                <w:rFonts w:ascii="Arial Narrow" w:eastAsia="Times New Roman" w:hAnsi="Arial Narrow" w:cs="Times New Roman"/>
                <w:noProof/>
                <w:sz w:val="20"/>
                <w:szCs w:val="20"/>
              </w:rPr>
              <w:t>Increase the number of children receiving fluoride varnish from a health provider by 10% by the end of 2020, and 5% more annually over the next three years.</w:t>
            </w:r>
          </w:p>
          <w:p w:rsidR="00DD09D7" w:rsidRPr="00D30F63" w:rsidRDefault="00DD09D7" w:rsidP="00DD09D7">
            <w:pPr>
              <w:pStyle w:val="ListParagraph"/>
              <w:numPr>
                <w:ilvl w:val="0"/>
                <w:numId w:val="16"/>
              </w:numPr>
              <w:ind w:left="198" w:hanging="156"/>
              <w:contextualSpacing/>
              <w:rPr>
                <w:rFonts w:ascii="Arial Narrow" w:eastAsia="Times New Roman" w:hAnsi="Arial Narrow" w:cs="Times New Roman"/>
                <w:noProof/>
                <w:sz w:val="20"/>
                <w:szCs w:val="20"/>
              </w:rPr>
            </w:pPr>
            <w:r w:rsidRPr="00D30F63">
              <w:rPr>
                <w:rFonts w:ascii="Arial Narrow" w:eastAsia="Times New Roman" w:hAnsi="Arial Narrow" w:cs="Times New Roman"/>
                <w:noProof/>
                <w:sz w:val="20"/>
                <w:szCs w:val="20"/>
              </w:rPr>
              <w:t>Implement daily fluoride toothbrushing programs in all preschool sites by September 2021.</w:t>
            </w:r>
          </w:p>
          <w:p w:rsidR="00DD09D7" w:rsidRPr="00D30F63" w:rsidRDefault="00DD09D7" w:rsidP="00DD09D7">
            <w:pPr>
              <w:pStyle w:val="ListParagraph"/>
              <w:numPr>
                <w:ilvl w:val="0"/>
                <w:numId w:val="16"/>
              </w:numPr>
              <w:ind w:left="198" w:hanging="156"/>
              <w:contextualSpacing/>
              <w:rPr>
                <w:rFonts w:ascii="Arial Narrow" w:eastAsia="Times New Roman" w:hAnsi="Arial Narrow" w:cs="Times New Roman"/>
                <w:noProof/>
                <w:sz w:val="20"/>
                <w:szCs w:val="20"/>
              </w:rPr>
            </w:pPr>
            <w:r w:rsidRPr="00D30F63">
              <w:rPr>
                <w:rFonts w:ascii="Arial Narrow" w:eastAsia="Times New Roman" w:hAnsi="Arial Narrow" w:cs="Times New Roman"/>
                <w:noProof/>
                <w:sz w:val="20"/>
                <w:szCs w:val="20"/>
              </w:rPr>
              <w:t>Reduce the percentage of children (pre-kindergarten, entering students and 3rd grade) with decay experience by 3% by June 2022.</w:t>
            </w:r>
          </w:p>
          <w:p w:rsidR="00DD09D7" w:rsidRPr="00D30F63" w:rsidRDefault="00DD09D7" w:rsidP="00DD09D7">
            <w:pPr>
              <w:pStyle w:val="ListParagraph"/>
              <w:numPr>
                <w:ilvl w:val="0"/>
                <w:numId w:val="16"/>
              </w:numPr>
              <w:ind w:left="198" w:hanging="156"/>
              <w:contextualSpacing/>
              <w:rPr>
                <w:rFonts w:ascii="Arial Narrow" w:eastAsia="Times New Roman" w:hAnsi="Arial Narrow" w:cs="Times New Roman"/>
                <w:noProof/>
                <w:sz w:val="20"/>
                <w:szCs w:val="20"/>
              </w:rPr>
            </w:pPr>
            <w:r w:rsidRPr="00D30F63">
              <w:rPr>
                <w:rFonts w:ascii="Arial Narrow" w:eastAsia="Times New Roman" w:hAnsi="Arial Narrow" w:cs="Times New Roman"/>
                <w:noProof/>
                <w:sz w:val="20"/>
                <w:szCs w:val="20"/>
              </w:rPr>
              <w:t>Increase the number of public health programs and healthy providers providing anticipatory guidance and education on oral health to children.</w:t>
            </w:r>
          </w:p>
          <w:p w:rsidR="00DD09D7" w:rsidRPr="00D30F63" w:rsidRDefault="00DD09D7" w:rsidP="00DD09D7">
            <w:pPr>
              <w:pStyle w:val="ListParagraph"/>
              <w:numPr>
                <w:ilvl w:val="0"/>
                <w:numId w:val="16"/>
              </w:numPr>
              <w:ind w:left="198" w:hanging="156"/>
              <w:contextualSpacing/>
              <w:rPr>
                <w:rFonts w:ascii="Arial Narrow" w:eastAsia="Times New Roman" w:hAnsi="Arial Narrow" w:cs="Times New Roman"/>
                <w:noProof/>
                <w:sz w:val="20"/>
                <w:szCs w:val="20"/>
              </w:rPr>
            </w:pPr>
            <w:r w:rsidRPr="00D30F63">
              <w:rPr>
                <w:rFonts w:ascii="Arial Narrow" w:eastAsia="Times New Roman" w:hAnsi="Arial Narrow" w:cs="Times New Roman"/>
                <w:noProof/>
                <w:sz w:val="20"/>
                <w:szCs w:val="20"/>
              </w:rPr>
              <w:t>Increase the percentage of children on Medi-Cal Dental who visit a dentist at least once by 10 percent by June 2022.</w:t>
            </w:r>
          </w:p>
          <w:p w:rsidR="00DD09D7" w:rsidRPr="00845524" w:rsidRDefault="00DD09D7" w:rsidP="00261631">
            <w:pPr>
              <w:pStyle w:val="ListParagraph"/>
              <w:numPr>
                <w:ilvl w:val="0"/>
                <w:numId w:val="16"/>
              </w:numPr>
              <w:spacing w:after="120"/>
              <w:ind w:left="201" w:hanging="158"/>
              <w:contextualSpacing/>
              <w:rPr>
                <w:rFonts w:ascii="Arial Narrow" w:eastAsia="Times New Roman" w:hAnsi="Arial Narrow"/>
                <w:color w:val="404040"/>
                <w:sz w:val="18"/>
                <w:szCs w:val="18"/>
              </w:rPr>
            </w:pPr>
            <w:r w:rsidRPr="00D30F63">
              <w:rPr>
                <w:rFonts w:ascii="Arial Narrow" w:eastAsia="Times New Roman" w:hAnsi="Arial Narrow" w:cs="Times New Roman"/>
                <w:noProof/>
                <w:sz w:val="20"/>
                <w:szCs w:val="20"/>
              </w:rPr>
              <w:t>Reduce the percentage of 3rd grade children, Head Start and State Preschool children with untreated tooth decay by 10% by June 2022.</w:t>
            </w:r>
          </w:p>
        </w:tc>
      </w:tr>
    </w:tbl>
    <w:p w:rsidR="00DD09D7" w:rsidRDefault="00DD09D7">
      <w:pPr>
        <w:rPr>
          <w:rFonts w:ascii="Arial Nova" w:hAnsi="Arial Nova"/>
          <w:b/>
          <w:sz w:val="24"/>
          <w:szCs w:val="24"/>
        </w:rPr>
        <w:sectPr w:rsidR="00DD09D7" w:rsidSect="00662B7E">
          <w:pgSz w:w="15840" w:h="12240" w:orient="landscape"/>
          <w:pgMar w:top="720" w:right="994" w:bottom="1440" w:left="576" w:header="720" w:footer="720" w:gutter="0"/>
          <w:pgNumType w:start="10"/>
          <w:cols w:space="720"/>
          <w:docGrid w:linePitch="360"/>
        </w:sectPr>
      </w:pPr>
    </w:p>
    <w:p w:rsidR="00850682" w:rsidRPr="00BD3462" w:rsidRDefault="00850682" w:rsidP="005C012E">
      <w:pPr>
        <w:pStyle w:val="Heading1"/>
      </w:pPr>
      <w:bookmarkStart w:id="28" w:name="_Toc11741534"/>
      <w:r w:rsidRPr="00BD3462">
        <w:t>Section 3: Focus of the Evaluation</w:t>
      </w:r>
      <w:bookmarkEnd w:id="28"/>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850682" w:rsidTr="00250F2A">
        <w:trPr>
          <w:trHeight w:hRule="exact" w:val="72"/>
        </w:trPr>
        <w:tc>
          <w:tcPr>
            <w:tcW w:w="9350" w:type="dxa"/>
          </w:tcPr>
          <w:p w:rsidR="00850682" w:rsidRDefault="00850682" w:rsidP="00250F2A">
            <w:pPr>
              <w:rPr>
                <w:rFonts w:ascii="Arial Nova" w:hAnsi="Arial Nova"/>
                <w:sz w:val="32"/>
                <w:szCs w:val="32"/>
              </w:rPr>
            </w:pPr>
          </w:p>
        </w:tc>
      </w:tr>
    </w:tbl>
    <w:p w:rsidR="00890126" w:rsidRDefault="00890126" w:rsidP="00784D24">
      <w:pPr>
        <w:spacing w:after="0" w:line="240" w:lineRule="auto"/>
        <w:rPr>
          <w:rFonts w:ascii="Arial Nova" w:hAnsi="Arial Nova"/>
        </w:rPr>
      </w:pPr>
    </w:p>
    <w:p w:rsidR="00AC41FF" w:rsidRPr="00784D24" w:rsidRDefault="00F717E3" w:rsidP="00D209C5">
      <w:pPr>
        <w:pStyle w:val="Text"/>
      </w:pPr>
      <w:r w:rsidRPr="00784D24">
        <w:t xml:space="preserve">The </w:t>
      </w:r>
      <w:r w:rsidR="0021102A">
        <w:t xml:space="preserve">focus of the </w:t>
      </w:r>
      <w:r w:rsidR="009456E9">
        <w:t xml:space="preserve">Kings County LOHP evaluation will </w:t>
      </w:r>
      <w:r w:rsidR="0021102A">
        <w:t>be</w:t>
      </w:r>
      <w:r w:rsidR="009456E9">
        <w:t xml:space="preserve"> on documenting </w:t>
      </w:r>
      <w:r w:rsidR="0021102A">
        <w:t xml:space="preserve">the </w:t>
      </w:r>
      <w:r w:rsidR="009456E9">
        <w:t xml:space="preserve">implementation of </w:t>
      </w:r>
      <w:r w:rsidR="00CA2BDC">
        <w:t>planned program components</w:t>
      </w:r>
      <w:r w:rsidR="0021102A">
        <w:t xml:space="preserve"> detailed in the </w:t>
      </w:r>
      <w:r w:rsidR="009456E9">
        <w:t>five-year work plan</w:t>
      </w:r>
      <w:r w:rsidR="0021102A">
        <w:t xml:space="preserve"> and measuring the</w:t>
      </w:r>
      <w:r w:rsidR="00CA2BDC">
        <w:t>ir</w:t>
      </w:r>
      <w:r w:rsidR="0021102A">
        <w:t xml:space="preserve"> effectiveness in driving changes in key outcome indicators related to oral disease prevention</w:t>
      </w:r>
      <w:r w:rsidR="00CA2BDC">
        <w:t xml:space="preserve"> </w:t>
      </w:r>
      <w:r w:rsidR="00B6478B">
        <w:t>throughout</w:t>
      </w:r>
      <w:r w:rsidR="00CA2BDC">
        <w:t xml:space="preserve"> the Kings County region</w:t>
      </w:r>
      <w:r w:rsidR="0021102A">
        <w:t xml:space="preserve">. The evaluation will be guided by five key evaluation questions that </w:t>
      </w:r>
      <w:r w:rsidR="00B6478B">
        <w:t xml:space="preserve">measure infrastructure development and capacity building, systems-integration and service delivery, and oral health outcomes for children, families, and communities. </w:t>
      </w:r>
    </w:p>
    <w:p w:rsidR="00AC41FF" w:rsidRPr="00121206" w:rsidRDefault="00AC41FF" w:rsidP="0076542A">
      <w:pPr>
        <w:pStyle w:val="Heading2"/>
      </w:pPr>
      <w:bookmarkStart w:id="29" w:name="_Toc11741535"/>
      <w:r w:rsidRPr="00121206">
        <w:t>Stakeholder Needs</w:t>
      </w:r>
      <w:bookmarkEnd w:id="29"/>
    </w:p>
    <w:p w:rsidR="00B6478B" w:rsidRPr="00784D24" w:rsidRDefault="009456E9" w:rsidP="00B6478B">
      <w:pPr>
        <w:pStyle w:val="Text"/>
      </w:pPr>
      <w:r>
        <w:t xml:space="preserve">All </w:t>
      </w:r>
      <w:r w:rsidR="000E7304">
        <w:t xml:space="preserve">LOHP grantees </w:t>
      </w:r>
      <w:r w:rsidR="00B6478B">
        <w:t>must</w:t>
      </w:r>
      <w:r w:rsidR="000E7304">
        <w:t xml:space="preserve"> </w:t>
      </w:r>
      <w:r w:rsidR="00DE52B2">
        <w:t xml:space="preserve">develop an </w:t>
      </w:r>
      <w:r w:rsidR="000E7304">
        <w:t xml:space="preserve">evaluation plan as </w:t>
      </w:r>
      <w:r w:rsidR="001E25A7">
        <w:t>a component of the grant</w:t>
      </w:r>
      <w:r w:rsidR="00DE52B2">
        <w:t xml:space="preserve"> to </w:t>
      </w:r>
      <w:r w:rsidR="001834AD">
        <w:t>ensure public accountability and</w:t>
      </w:r>
      <w:r w:rsidR="00B46CE5">
        <w:t xml:space="preserve"> compliance with all state funding</w:t>
      </w:r>
      <w:r w:rsidR="00DE52B2">
        <w:t xml:space="preserve"> requirements</w:t>
      </w:r>
      <w:r w:rsidR="00B46CE5">
        <w:t>.</w:t>
      </w:r>
      <w:r w:rsidR="00DE52B2">
        <w:t xml:space="preserve"> </w:t>
      </w:r>
      <w:r w:rsidR="001834AD">
        <w:t>At the local level</w:t>
      </w:r>
      <w:r w:rsidR="00B46CE5">
        <w:t xml:space="preserve">, </w:t>
      </w:r>
      <w:r w:rsidR="001E25A7">
        <w:t>the evaluation</w:t>
      </w:r>
      <w:r w:rsidR="00831E45">
        <w:t xml:space="preserve"> will be used by </w:t>
      </w:r>
      <w:r w:rsidR="00B070D7">
        <w:t xml:space="preserve">local stakeholders, including </w:t>
      </w:r>
      <w:r w:rsidR="00831E45">
        <w:t>First 5 Kings County</w:t>
      </w:r>
      <w:r w:rsidR="00F717E3">
        <w:t xml:space="preserve">, </w:t>
      </w:r>
      <w:r w:rsidR="00831E45">
        <w:t>the Kings County De</w:t>
      </w:r>
      <w:r w:rsidR="00F717E3">
        <w:t>p</w:t>
      </w:r>
      <w:r w:rsidR="00831E45">
        <w:t>artment of Public Health</w:t>
      </w:r>
      <w:r w:rsidR="00F717E3">
        <w:t>, and coalition partner organizations</w:t>
      </w:r>
      <w:r w:rsidR="00B070D7">
        <w:t>,</w:t>
      </w:r>
      <w:r w:rsidR="00F717E3">
        <w:t xml:space="preserve"> to </w:t>
      </w:r>
      <w:r w:rsidR="001E25A7">
        <w:t>document implementation of the proposed plan, to identify promising practices and lessons learned for addressing oral disease prevention</w:t>
      </w:r>
      <w:r w:rsidR="00B070D7">
        <w:t>, and to support continuous quality improvement efforts to</w:t>
      </w:r>
      <w:r w:rsidR="001E25A7">
        <w:t xml:space="preserve"> </w:t>
      </w:r>
      <w:r w:rsidR="00F717E3">
        <w:t xml:space="preserve">inform </w:t>
      </w:r>
      <w:r w:rsidR="00B070D7">
        <w:t>future</w:t>
      </w:r>
      <w:r w:rsidR="00B6478B">
        <w:t xml:space="preserve"> </w:t>
      </w:r>
      <w:r w:rsidR="00F717E3">
        <w:t>oral health prevention planning</w:t>
      </w:r>
      <w:r w:rsidR="00B070D7">
        <w:t xml:space="preserve"> efforts</w:t>
      </w:r>
      <w:r w:rsidR="00B6478B" w:rsidRPr="00784D24">
        <w:t xml:space="preserve">. </w:t>
      </w:r>
    </w:p>
    <w:p w:rsidR="00AC41FF" w:rsidRPr="00890126" w:rsidRDefault="00AC41FF" w:rsidP="0076542A">
      <w:pPr>
        <w:pStyle w:val="Heading2"/>
      </w:pPr>
      <w:bookmarkStart w:id="30" w:name="_Toc11741536"/>
      <w:r w:rsidRPr="00890126">
        <w:t>Evaluation Questions</w:t>
      </w:r>
      <w:bookmarkEnd w:id="30"/>
    </w:p>
    <w:p w:rsidR="001A432A" w:rsidRDefault="001A432A" w:rsidP="00D209C5">
      <w:pPr>
        <w:pStyle w:val="Text"/>
      </w:pPr>
      <w:r>
        <w:t xml:space="preserve">The Kings County LOHP evaluation plan will address the following five key evaluation questions. </w:t>
      </w:r>
    </w:p>
    <w:p w:rsidR="00784D24" w:rsidRPr="00784D24" w:rsidRDefault="0053660E" w:rsidP="00D209C5">
      <w:pPr>
        <w:pStyle w:val="Text"/>
        <w:numPr>
          <w:ilvl w:val="0"/>
          <w:numId w:val="10"/>
        </w:numPr>
      </w:pPr>
      <w:r w:rsidRPr="0053660E">
        <w:rPr>
          <w:b/>
          <w:bCs/>
        </w:rPr>
        <w:t xml:space="preserve">Evaluation Question </w:t>
      </w:r>
      <w:r>
        <w:rPr>
          <w:b/>
          <w:bCs/>
        </w:rPr>
        <w:t>1</w:t>
      </w:r>
      <w:r w:rsidRPr="0053660E">
        <w:rPr>
          <w:b/>
          <w:bCs/>
        </w:rPr>
        <w:t>.</w:t>
      </w:r>
      <w:r>
        <w:t xml:space="preserve"> </w:t>
      </w:r>
      <w:r w:rsidR="00784D24" w:rsidRPr="00784D24">
        <w:t>How successful was Kings County in building its internal capacity and establishing new collaborative infrastructure to promote oral disease prevention in high need communities?</w:t>
      </w:r>
    </w:p>
    <w:p w:rsidR="00784D24" w:rsidRPr="00784D24" w:rsidRDefault="0053660E" w:rsidP="00D209C5">
      <w:pPr>
        <w:pStyle w:val="Text"/>
        <w:numPr>
          <w:ilvl w:val="0"/>
          <w:numId w:val="10"/>
        </w:numPr>
      </w:pPr>
      <w:r w:rsidRPr="0053660E">
        <w:rPr>
          <w:b/>
          <w:bCs/>
        </w:rPr>
        <w:t xml:space="preserve">Evaluation Question </w:t>
      </w:r>
      <w:r>
        <w:rPr>
          <w:b/>
          <w:bCs/>
        </w:rPr>
        <w:t>2</w:t>
      </w:r>
      <w:r w:rsidRPr="0053660E">
        <w:rPr>
          <w:b/>
          <w:bCs/>
        </w:rPr>
        <w:t>.</w:t>
      </w:r>
      <w:r>
        <w:t xml:space="preserve"> </w:t>
      </w:r>
      <w:r w:rsidR="00784D24" w:rsidRPr="00784D24">
        <w:t>Did increased systems-integration and service coordination among community partners result in expanded access to preventative oral health services for children and their families?</w:t>
      </w:r>
    </w:p>
    <w:p w:rsidR="00784D24" w:rsidRPr="00784D24" w:rsidRDefault="0053660E" w:rsidP="00D209C5">
      <w:pPr>
        <w:pStyle w:val="Text"/>
        <w:numPr>
          <w:ilvl w:val="0"/>
          <w:numId w:val="10"/>
        </w:numPr>
      </w:pPr>
      <w:r w:rsidRPr="0053660E">
        <w:rPr>
          <w:b/>
          <w:bCs/>
        </w:rPr>
        <w:t xml:space="preserve">Evaluation Question </w:t>
      </w:r>
      <w:r>
        <w:rPr>
          <w:b/>
          <w:bCs/>
        </w:rPr>
        <w:t>3</w:t>
      </w:r>
      <w:r w:rsidRPr="0053660E">
        <w:rPr>
          <w:b/>
          <w:bCs/>
        </w:rPr>
        <w:t>.</w:t>
      </w:r>
      <w:r>
        <w:t xml:space="preserve"> </w:t>
      </w:r>
      <w:r w:rsidR="00784D24" w:rsidRPr="00784D24">
        <w:t>Did increased systems-integration and collaboration among community partners result in expanded access to oral health screening and linkages to dental treatment for preschool and school-age children?</w:t>
      </w:r>
    </w:p>
    <w:p w:rsidR="00784D24" w:rsidRPr="00784D24" w:rsidRDefault="0053660E" w:rsidP="00D209C5">
      <w:pPr>
        <w:pStyle w:val="Text"/>
        <w:numPr>
          <w:ilvl w:val="0"/>
          <w:numId w:val="10"/>
        </w:numPr>
      </w:pPr>
      <w:r w:rsidRPr="0053660E">
        <w:rPr>
          <w:b/>
          <w:bCs/>
        </w:rPr>
        <w:t xml:space="preserve">Evaluation Question </w:t>
      </w:r>
      <w:r>
        <w:rPr>
          <w:b/>
          <w:bCs/>
        </w:rPr>
        <w:t>4</w:t>
      </w:r>
      <w:r w:rsidRPr="0053660E">
        <w:rPr>
          <w:b/>
          <w:bCs/>
        </w:rPr>
        <w:t>.</w:t>
      </w:r>
      <w:r>
        <w:t xml:space="preserve"> </w:t>
      </w:r>
      <w:r w:rsidR="00784D24" w:rsidRPr="00784D24">
        <w:t>Did increase</w:t>
      </w:r>
      <w:r w:rsidR="00065F01">
        <w:t>d</w:t>
      </w:r>
      <w:r w:rsidR="00784D24" w:rsidRPr="00784D24">
        <w:t xml:space="preserve"> prevention system capacity result in improvements in health for children, as measured by reductions in rates of tooth decay or untreated tooth decay?</w:t>
      </w:r>
    </w:p>
    <w:p w:rsidR="00784D24" w:rsidRDefault="0053660E" w:rsidP="00D209C5">
      <w:pPr>
        <w:pStyle w:val="Text"/>
        <w:numPr>
          <w:ilvl w:val="0"/>
          <w:numId w:val="10"/>
        </w:numPr>
      </w:pPr>
      <w:r w:rsidRPr="0053660E">
        <w:rPr>
          <w:b/>
          <w:bCs/>
        </w:rPr>
        <w:t xml:space="preserve">Evaluation Question </w:t>
      </w:r>
      <w:r>
        <w:rPr>
          <w:b/>
          <w:bCs/>
        </w:rPr>
        <w:t>5</w:t>
      </w:r>
      <w:r w:rsidRPr="0053660E">
        <w:rPr>
          <w:b/>
          <w:bCs/>
        </w:rPr>
        <w:t>.</w:t>
      </w:r>
      <w:r>
        <w:t xml:space="preserve"> </w:t>
      </w:r>
      <w:r w:rsidR="00784D24" w:rsidRPr="00784D24">
        <w:t>Did increase</w:t>
      </w:r>
      <w:r w:rsidR="00065F01">
        <w:t>d</w:t>
      </w:r>
      <w:r w:rsidR="00784D24" w:rsidRPr="00784D24">
        <w:t xml:space="preserve"> prevention system capacity result in increased utilization of dental services for children at greatest risk of health disparities?</w:t>
      </w:r>
    </w:p>
    <w:p w:rsidR="00B46CE5" w:rsidRDefault="00B46CE5" w:rsidP="0076542A">
      <w:pPr>
        <w:pStyle w:val="Heading2"/>
      </w:pPr>
      <w:bookmarkStart w:id="31" w:name="_Toc11741537"/>
    </w:p>
    <w:p w:rsidR="00065F01" w:rsidRDefault="00065F01" w:rsidP="0076542A">
      <w:pPr>
        <w:pStyle w:val="Heading2"/>
      </w:pPr>
    </w:p>
    <w:p w:rsidR="004B1A53" w:rsidRDefault="004B1A53" w:rsidP="0076542A">
      <w:pPr>
        <w:pStyle w:val="Heading2"/>
      </w:pPr>
      <w:r w:rsidRPr="00890126">
        <w:t>Evaluation Methods</w:t>
      </w:r>
      <w:bookmarkEnd w:id="31"/>
    </w:p>
    <w:p w:rsidR="004B1A53" w:rsidRPr="00D209C5" w:rsidRDefault="004B1A53" w:rsidP="004B1A53">
      <w:pPr>
        <w:rPr>
          <w:rFonts w:ascii="Arial" w:hAnsi="Arial" w:cs="Arial"/>
          <w:sz w:val="24"/>
          <w:szCs w:val="24"/>
        </w:rPr>
      </w:pPr>
      <w:r w:rsidRPr="00D209C5">
        <w:rPr>
          <w:rFonts w:ascii="Arial" w:hAnsi="Arial" w:cs="Arial"/>
          <w:sz w:val="24"/>
          <w:szCs w:val="24"/>
        </w:rPr>
        <w:t>The evaluation will involve a mixed methods analysis approach that includes both quantitative and qualitative analysis components. The plan will involve multiple data sources includ</w:t>
      </w:r>
      <w:r w:rsidR="00B03572">
        <w:rPr>
          <w:rFonts w:ascii="Arial" w:hAnsi="Arial" w:cs="Arial"/>
          <w:sz w:val="24"/>
          <w:szCs w:val="24"/>
        </w:rPr>
        <w:t>ing</w:t>
      </w:r>
      <w:r w:rsidRPr="00D209C5">
        <w:rPr>
          <w:rFonts w:ascii="Arial" w:hAnsi="Arial" w:cs="Arial"/>
          <w:sz w:val="24"/>
          <w:szCs w:val="24"/>
        </w:rPr>
        <w:t xml:space="preserve"> </w:t>
      </w:r>
      <w:r w:rsidR="00DE52B2">
        <w:rPr>
          <w:rFonts w:ascii="Arial" w:hAnsi="Arial" w:cs="Arial"/>
          <w:sz w:val="24"/>
          <w:szCs w:val="24"/>
        </w:rPr>
        <w:t xml:space="preserve">document reviews, </w:t>
      </w:r>
      <w:r>
        <w:rPr>
          <w:rFonts w:ascii="Arial" w:hAnsi="Arial" w:cs="Arial"/>
          <w:sz w:val="24"/>
          <w:szCs w:val="24"/>
        </w:rPr>
        <w:t xml:space="preserve">key stakeholder interviews, </w:t>
      </w:r>
      <w:r w:rsidRPr="00D209C5">
        <w:rPr>
          <w:rFonts w:ascii="Arial" w:hAnsi="Arial" w:cs="Arial"/>
          <w:sz w:val="24"/>
          <w:szCs w:val="24"/>
        </w:rPr>
        <w:t xml:space="preserve">coalition member surveys, web-based event and participant tracking forms, </w:t>
      </w:r>
      <w:r>
        <w:rPr>
          <w:rFonts w:ascii="Arial" w:hAnsi="Arial" w:cs="Arial"/>
          <w:sz w:val="24"/>
          <w:szCs w:val="24"/>
        </w:rPr>
        <w:t xml:space="preserve">oral health screening forms, and </w:t>
      </w:r>
      <w:r w:rsidR="00BA4CFC">
        <w:rPr>
          <w:rFonts w:ascii="Arial" w:hAnsi="Arial" w:cs="Arial"/>
          <w:sz w:val="24"/>
          <w:szCs w:val="24"/>
        </w:rPr>
        <w:t xml:space="preserve">reviews of </w:t>
      </w:r>
      <w:r>
        <w:rPr>
          <w:rFonts w:ascii="Arial" w:hAnsi="Arial" w:cs="Arial"/>
          <w:sz w:val="24"/>
          <w:szCs w:val="24"/>
        </w:rPr>
        <w:t xml:space="preserve">Medi-Cal utilization records. The evaluation will involve comparisons </w:t>
      </w:r>
      <w:r w:rsidR="00BA4CFC">
        <w:rPr>
          <w:rFonts w:ascii="Arial" w:hAnsi="Arial" w:cs="Arial"/>
          <w:sz w:val="24"/>
          <w:szCs w:val="24"/>
        </w:rPr>
        <w:t xml:space="preserve">to targeted benchmarks </w:t>
      </w:r>
      <w:r>
        <w:rPr>
          <w:rFonts w:ascii="Arial" w:hAnsi="Arial" w:cs="Arial"/>
          <w:sz w:val="24"/>
          <w:szCs w:val="24"/>
        </w:rPr>
        <w:t>on key outcome</w:t>
      </w:r>
      <w:r w:rsidR="00BA4CFC">
        <w:rPr>
          <w:rFonts w:ascii="Arial" w:hAnsi="Arial" w:cs="Arial"/>
          <w:sz w:val="24"/>
          <w:szCs w:val="24"/>
        </w:rPr>
        <w:t xml:space="preserve"> indicators to measure improvements in oral health prevention and treatment access</w:t>
      </w:r>
      <w:r w:rsidR="00DE52B2">
        <w:rPr>
          <w:rFonts w:ascii="Arial" w:hAnsi="Arial" w:cs="Arial"/>
          <w:sz w:val="24"/>
          <w:szCs w:val="24"/>
        </w:rPr>
        <w:t>,</w:t>
      </w:r>
      <w:r w:rsidR="00BA4CFC">
        <w:rPr>
          <w:rFonts w:ascii="Arial" w:hAnsi="Arial" w:cs="Arial"/>
          <w:sz w:val="24"/>
          <w:szCs w:val="24"/>
        </w:rPr>
        <w:t xml:space="preserve"> and reductions oral health disease. </w:t>
      </w:r>
      <w:r w:rsidR="00B03572">
        <w:rPr>
          <w:rFonts w:ascii="Arial" w:hAnsi="Arial" w:cs="Arial"/>
          <w:sz w:val="24"/>
          <w:szCs w:val="24"/>
        </w:rPr>
        <w:t>These targeted benchmarks are detailed in exhibit 4.</w:t>
      </w:r>
    </w:p>
    <w:p w:rsidR="004B1A53" w:rsidRPr="00121206" w:rsidRDefault="004B1A53" w:rsidP="0076542A">
      <w:pPr>
        <w:pStyle w:val="Heading2"/>
      </w:pPr>
      <w:bookmarkStart w:id="32" w:name="_Toc11741538"/>
      <w:r w:rsidRPr="00121206">
        <w:t>Evaluation Standards</w:t>
      </w:r>
      <w:bookmarkEnd w:id="32"/>
    </w:p>
    <w:p w:rsidR="004B1A53" w:rsidRDefault="004B1A53" w:rsidP="004B1A53">
      <w:pPr>
        <w:pStyle w:val="Text"/>
      </w:pPr>
      <w:r>
        <w:t xml:space="preserve">The Centers for Disease Control and Prevention (CDC) has identified 30 standards for assessing the quality </w:t>
      </w:r>
      <w:r w:rsidR="00BA4CFC">
        <w:t xml:space="preserve">and effectiveness </w:t>
      </w:r>
      <w:r>
        <w:t>of evaluation activities. The</w:t>
      </w:r>
      <w:r w:rsidR="00C857E4">
        <w:t>se</w:t>
      </w:r>
      <w:r>
        <w:t xml:space="preserve"> evaluation standards are group</w:t>
      </w:r>
      <w:r w:rsidR="00C857E4">
        <w:t>ed</w:t>
      </w:r>
      <w:r>
        <w:t xml:space="preserve"> into four broad category </w:t>
      </w:r>
      <w:r w:rsidR="00BA4CFC">
        <w:t>a</w:t>
      </w:r>
      <w:r>
        <w:t>reas</w:t>
      </w:r>
      <w:r w:rsidR="00BA4CFC">
        <w:t xml:space="preserve"> that</w:t>
      </w:r>
      <w:r>
        <w:t xml:space="preserve"> </w:t>
      </w:r>
      <w:r w:rsidR="00C857E4">
        <w:t xml:space="preserve">include </w:t>
      </w:r>
      <w:r>
        <w:t xml:space="preserve">utility, feasibility, propriety, and accuracy. </w:t>
      </w:r>
      <w:r w:rsidR="00966207">
        <w:t xml:space="preserve">These </w:t>
      </w:r>
      <w:r w:rsidR="00D46B9C">
        <w:t xml:space="preserve">evaluation </w:t>
      </w:r>
      <w:r w:rsidR="00966207">
        <w:t>standards</w:t>
      </w:r>
      <w:r w:rsidR="00D46B9C">
        <w:t>, defined below,</w:t>
      </w:r>
      <w:r w:rsidR="00966207">
        <w:t xml:space="preserve"> will be reviewed </w:t>
      </w:r>
      <w:r w:rsidR="00C857E4">
        <w:t>and discussed by</w:t>
      </w:r>
      <w:r w:rsidR="00966207">
        <w:t xml:space="preserve"> the oral health coalition membership on an annual basis to ensure that </w:t>
      </w:r>
      <w:r w:rsidR="00C857E4">
        <w:t>the evaluation is meeting expectations in each of these key areas.</w:t>
      </w:r>
    </w:p>
    <w:p w:rsidR="004B1A53" w:rsidRDefault="004B1A53" w:rsidP="004B1A53">
      <w:pPr>
        <w:pStyle w:val="Text"/>
        <w:numPr>
          <w:ilvl w:val="0"/>
          <w:numId w:val="12"/>
        </w:numPr>
      </w:pPr>
      <w:r w:rsidRPr="001B347C">
        <w:rPr>
          <w:b/>
          <w:bCs/>
        </w:rPr>
        <w:t>Utility standards</w:t>
      </w:r>
      <w:r w:rsidR="00C857E4">
        <w:t xml:space="preserve">. The evaluation is responsive to the </w:t>
      </w:r>
      <w:r>
        <w:t>information</w:t>
      </w:r>
      <w:r w:rsidR="00C857E4">
        <w:t>al</w:t>
      </w:r>
      <w:r>
        <w:t xml:space="preserve"> needs of intended users.</w:t>
      </w:r>
    </w:p>
    <w:p w:rsidR="004B1A53" w:rsidRDefault="004B1A53" w:rsidP="004B1A53">
      <w:pPr>
        <w:pStyle w:val="Text"/>
        <w:numPr>
          <w:ilvl w:val="0"/>
          <w:numId w:val="12"/>
        </w:numPr>
      </w:pPr>
      <w:r w:rsidRPr="001B347C">
        <w:rPr>
          <w:b/>
          <w:bCs/>
        </w:rPr>
        <w:t>Feasibility standards</w:t>
      </w:r>
      <w:r w:rsidR="00C857E4">
        <w:rPr>
          <w:b/>
          <w:bCs/>
        </w:rPr>
        <w:t xml:space="preserve">. </w:t>
      </w:r>
      <w:r w:rsidR="00C857E4" w:rsidRPr="00C857E4">
        <w:t xml:space="preserve">The evaluation scope is cost effective </w:t>
      </w:r>
      <w:r w:rsidR="00C857E4">
        <w:t xml:space="preserve">and </w:t>
      </w:r>
      <w:r w:rsidR="00C857E4" w:rsidRPr="00C857E4">
        <w:t xml:space="preserve">feasible to implement </w:t>
      </w:r>
      <w:r w:rsidR="00C857E4">
        <w:t>within the proposed budget</w:t>
      </w:r>
      <w:r w:rsidR="00C857E4" w:rsidRPr="00C857E4">
        <w:t>.</w:t>
      </w:r>
    </w:p>
    <w:p w:rsidR="004B1A53" w:rsidRDefault="004B1A53" w:rsidP="004B1A53">
      <w:pPr>
        <w:pStyle w:val="Text"/>
        <w:numPr>
          <w:ilvl w:val="0"/>
          <w:numId w:val="12"/>
        </w:numPr>
      </w:pPr>
      <w:r w:rsidRPr="001B347C">
        <w:rPr>
          <w:b/>
          <w:bCs/>
        </w:rPr>
        <w:t>Propriety standards</w:t>
      </w:r>
      <w:r w:rsidR="00C857E4">
        <w:rPr>
          <w:b/>
          <w:bCs/>
        </w:rPr>
        <w:t xml:space="preserve">. </w:t>
      </w:r>
      <w:r w:rsidR="00C857E4" w:rsidRPr="00C857E4">
        <w:t xml:space="preserve">The evaluation approach </w:t>
      </w:r>
      <w:r w:rsidR="00CC7C2A">
        <w:t>is legal and ethical and</w:t>
      </w:r>
      <w:r w:rsidR="00C857E4">
        <w:t xml:space="preserve"> </w:t>
      </w:r>
      <w:r w:rsidR="00CC7C2A">
        <w:t xml:space="preserve">addresses </w:t>
      </w:r>
      <w:r w:rsidR="00C857E4">
        <w:t>appropriate protections for the individuals involved in the study.</w:t>
      </w:r>
    </w:p>
    <w:p w:rsidR="004B1A53" w:rsidRDefault="004B1A53" w:rsidP="004B1A53">
      <w:pPr>
        <w:pStyle w:val="Text"/>
        <w:numPr>
          <w:ilvl w:val="0"/>
          <w:numId w:val="12"/>
        </w:numPr>
      </w:pPr>
      <w:r w:rsidRPr="001B347C">
        <w:rPr>
          <w:b/>
          <w:bCs/>
        </w:rPr>
        <w:t>Accuracy standards</w:t>
      </w:r>
      <w:r w:rsidR="00C857E4">
        <w:rPr>
          <w:b/>
          <w:bCs/>
        </w:rPr>
        <w:t xml:space="preserve">. </w:t>
      </w:r>
      <w:r w:rsidR="00C857E4" w:rsidRPr="00C857E4">
        <w:t xml:space="preserve">The evaluation </w:t>
      </w:r>
      <w:r w:rsidR="00CC7C2A">
        <w:t>is</w:t>
      </w:r>
      <w:r w:rsidR="00C857E4" w:rsidRPr="00C857E4">
        <w:t xml:space="preserve"> technically accurate and produce</w:t>
      </w:r>
      <w:r w:rsidR="00CC7C2A">
        <w:t>s</w:t>
      </w:r>
      <w:r w:rsidR="00C857E4" w:rsidRPr="00C857E4">
        <w:t xml:space="preserve"> </w:t>
      </w:r>
      <w:r w:rsidR="00D46B9C">
        <w:t xml:space="preserve">useful, </w:t>
      </w:r>
      <w:r w:rsidR="00C857E4" w:rsidRPr="00C857E4">
        <w:t xml:space="preserve">actionable information regarding the </w:t>
      </w:r>
      <w:r w:rsidR="00D46B9C">
        <w:t>LOHP</w:t>
      </w:r>
      <w:r w:rsidR="00C857E4" w:rsidRPr="00C857E4">
        <w:t>’s implementation quality and effectiveness.</w:t>
      </w:r>
    </w:p>
    <w:p w:rsidR="006A3014" w:rsidRPr="00787DB6" w:rsidRDefault="006A3014" w:rsidP="005C012E">
      <w:pPr>
        <w:pStyle w:val="Heading1"/>
      </w:pPr>
      <w:bookmarkStart w:id="33" w:name="_Toc11741539"/>
      <w:r w:rsidRPr="00787DB6">
        <w:t xml:space="preserve">Section 4: </w:t>
      </w:r>
      <w:r>
        <w:t>Gathering Credible Evidence</w:t>
      </w:r>
      <w:bookmarkEnd w:id="33"/>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A3014" w:rsidTr="005C012E">
        <w:trPr>
          <w:trHeight w:hRule="exact" w:val="72"/>
        </w:trPr>
        <w:tc>
          <w:tcPr>
            <w:tcW w:w="9350" w:type="dxa"/>
          </w:tcPr>
          <w:p w:rsidR="006A3014" w:rsidRDefault="006A3014" w:rsidP="005C012E">
            <w:pPr>
              <w:rPr>
                <w:rFonts w:ascii="Arial Nova" w:hAnsi="Arial Nova"/>
                <w:sz w:val="32"/>
                <w:szCs w:val="32"/>
              </w:rPr>
            </w:pPr>
            <w:bookmarkStart w:id="34" w:name="_Hlk9503985"/>
          </w:p>
        </w:tc>
      </w:tr>
      <w:bookmarkEnd w:id="34"/>
    </w:tbl>
    <w:p w:rsidR="006A3014" w:rsidRDefault="006A3014" w:rsidP="006A3014">
      <w:pPr>
        <w:rPr>
          <w:rFonts w:ascii="Arial Nova" w:hAnsi="Arial Nova"/>
        </w:rPr>
      </w:pPr>
    </w:p>
    <w:p w:rsidR="006A3014" w:rsidRPr="00890126" w:rsidRDefault="006A3014" w:rsidP="0076542A">
      <w:pPr>
        <w:pStyle w:val="Heading2"/>
      </w:pPr>
      <w:bookmarkStart w:id="35" w:name="_Toc11741540"/>
      <w:r w:rsidRPr="00890126">
        <w:t>Indicators</w:t>
      </w:r>
      <w:bookmarkEnd w:id="35"/>
    </w:p>
    <w:p w:rsidR="008A0012" w:rsidRDefault="00462711" w:rsidP="00D209C5">
      <w:pPr>
        <w:pStyle w:val="Text"/>
        <w:sectPr w:rsidR="008A0012" w:rsidSect="00662B7E">
          <w:pgSz w:w="12240" w:h="15840" w:code="1"/>
          <w:pgMar w:top="1440" w:right="1080" w:bottom="1440" w:left="1080" w:header="720" w:footer="720" w:gutter="0"/>
          <w:pgNumType w:start="11"/>
          <w:cols w:space="720"/>
          <w:docGrid w:linePitch="360"/>
        </w:sectPr>
      </w:pPr>
      <w:r>
        <w:t xml:space="preserve">Progress toward achieving </w:t>
      </w:r>
      <w:r w:rsidR="003C4E0A">
        <w:t xml:space="preserve">the </w:t>
      </w:r>
      <w:r>
        <w:t>state</w:t>
      </w:r>
      <w:r w:rsidR="003C4E0A">
        <w:t>d</w:t>
      </w:r>
      <w:r>
        <w:t xml:space="preserve"> goals, objectives, and outcomes </w:t>
      </w:r>
      <w:r w:rsidR="003C4E0A">
        <w:t xml:space="preserve">of the LOHP </w:t>
      </w:r>
      <w:r>
        <w:t>will be measured using a set of key indicators</w:t>
      </w:r>
      <w:r w:rsidR="006A3014">
        <w:t xml:space="preserve"> and targeted benchmarks </w:t>
      </w:r>
      <w:r w:rsidR="00AA6FBE">
        <w:t>detailed in the table on the following page</w:t>
      </w:r>
      <w:r w:rsidR="006A3014">
        <w:t>.</w:t>
      </w:r>
      <w:r>
        <w:t xml:space="preserve"> These indicators </w:t>
      </w:r>
      <w:r w:rsidR="008D15D0">
        <w:t>will be used to assess</w:t>
      </w:r>
      <w:r>
        <w:t xml:space="preserve"> program processes and outcomes that are defined in the four-year workplan and </w:t>
      </w:r>
      <w:r w:rsidR="003C4E0A">
        <w:t xml:space="preserve">are can be measured </w:t>
      </w:r>
      <w:r w:rsidR="008D15D0">
        <w:t xml:space="preserve">using the data collection tools listed in the next section.  </w:t>
      </w:r>
    </w:p>
    <w:tbl>
      <w:tblPr>
        <w:tblStyle w:val="TableGrid"/>
        <w:tblpPr w:leftFromText="180" w:rightFromText="180" w:tblpY="440"/>
        <w:tblW w:w="5000" w:type="pct"/>
        <w:tblCellMar>
          <w:top w:w="43" w:type="dxa"/>
          <w:left w:w="115" w:type="dxa"/>
          <w:bottom w:w="43" w:type="dxa"/>
          <w:right w:w="115" w:type="dxa"/>
        </w:tblCellMar>
        <w:tblLook w:val="04A0" w:firstRow="1" w:lastRow="0" w:firstColumn="1" w:lastColumn="0" w:noHBand="0" w:noVBand="1"/>
      </w:tblPr>
      <w:tblGrid>
        <w:gridCol w:w="5867"/>
        <w:gridCol w:w="2638"/>
        <w:gridCol w:w="2171"/>
        <w:gridCol w:w="2514"/>
      </w:tblGrid>
      <w:tr w:rsidR="00DD09D7" w:rsidRPr="00C069FE" w:rsidTr="00DD09D7">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D09D7" w:rsidRPr="00874ED9" w:rsidRDefault="00DD09D7" w:rsidP="00DD09D7">
            <w:pPr>
              <w:outlineLvl w:val="0"/>
              <w:rPr>
                <w:rFonts w:ascii="Arial Nova" w:hAnsi="Arial Nova" w:cstheme="minorHAnsi"/>
                <w:b/>
                <w:noProof/>
                <w:color w:val="FFFFFF" w:themeColor="background1"/>
              </w:rPr>
            </w:pPr>
            <w:bookmarkStart w:id="36" w:name="_Toc11741316"/>
            <w:bookmarkStart w:id="37" w:name="_Toc11741542"/>
            <w:r w:rsidRPr="00FC766F">
              <w:rPr>
                <w:rFonts w:ascii="Arial Nova" w:hAnsi="Arial Nova"/>
                <w:b/>
                <w:sz w:val="24"/>
                <w:szCs w:val="24"/>
              </w:rPr>
              <w:t xml:space="preserve">Exhibit </w:t>
            </w:r>
            <w:r>
              <w:rPr>
                <w:rFonts w:ascii="Arial Nova" w:hAnsi="Arial Nova"/>
                <w:b/>
                <w:sz w:val="24"/>
                <w:szCs w:val="24"/>
              </w:rPr>
              <w:t>4</w:t>
            </w:r>
            <w:r w:rsidRPr="00FC766F">
              <w:rPr>
                <w:rFonts w:ascii="Arial Nova" w:hAnsi="Arial Nova"/>
                <w:b/>
                <w:sz w:val="24"/>
                <w:szCs w:val="24"/>
              </w:rPr>
              <w:t xml:space="preserve">   </w:t>
            </w:r>
            <w:r w:rsidRPr="00FC766F">
              <w:rPr>
                <w:rFonts w:ascii="Arial Nova" w:hAnsi="Arial Nova"/>
                <w:bCs/>
                <w:sz w:val="24"/>
                <w:szCs w:val="24"/>
              </w:rPr>
              <w:t>Measurable Oral Health Indicators for Kings County Oral Health Program (2019 – 2022)</w:t>
            </w:r>
            <w:bookmarkEnd w:id="36"/>
            <w:bookmarkEnd w:id="37"/>
          </w:p>
        </w:tc>
      </w:tr>
      <w:tr w:rsidR="00B07FD1" w:rsidRPr="00C069FE" w:rsidTr="00DD09D7">
        <w:tc>
          <w:tcPr>
            <w:tcW w:w="2224" w:type="pct"/>
            <w:tcBorders>
              <w:top w:val="single" w:sz="4" w:space="0" w:color="FFFFFF" w:themeColor="background1"/>
              <w:bottom w:val="single" w:sz="4" w:space="0" w:color="auto"/>
            </w:tcBorders>
            <w:shd w:val="clear" w:color="auto" w:fill="000000" w:themeFill="text1"/>
            <w:vAlign w:val="center"/>
          </w:tcPr>
          <w:p w:rsidR="00B07FD1" w:rsidRPr="00874ED9" w:rsidRDefault="00B07FD1" w:rsidP="00826F5D">
            <w:pPr>
              <w:rPr>
                <w:rFonts w:ascii="Arial Nova" w:hAnsi="Arial Nova" w:cstheme="minorHAnsi"/>
                <w:b/>
                <w:noProof/>
                <w:color w:val="FFFFFF" w:themeColor="background1"/>
              </w:rPr>
            </w:pPr>
            <w:r w:rsidRPr="00874ED9">
              <w:rPr>
                <w:rFonts w:ascii="Arial Nova" w:hAnsi="Arial Nova" w:cstheme="minorHAnsi"/>
                <w:b/>
                <w:noProof/>
                <w:color w:val="FFFFFF" w:themeColor="background1"/>
              </w:rPr>
              <w:t>Indicator</w:t>
            </w:r>
          </w:p>
        </w:tc>
        <w:tc>
          <w:tcPr>
            <w:tcW w:w="1000" w:type="pct"/>
            <w:tcBorders>
              <w:bottom w:val="single" w:sz="4" w:space="0" w:color="auto"/>
            </w:tcBorders>
            <w:shd w:val="clear" w:color="auto" w:fill="000000" w:themeFill="text1"/>
            <w:vAlign w:val="center"/>
          </w:tcPr>
          <w:p w:rsidR="00B07FD1" w:rsidRPr="00874ED9" w:rsidRDefault="00B07FD1" w:rsidP="00826F5D">
            <w:pPr>
              <w:jc w:val="center"/>
              <w:rPr>
                <w:rFonts w:ascii="Arial Nova" w:hAnsi="Arial Nova" w:cstheme="minorHAnsi"/>
                <w:b/>
                <w:noProof/>
                <w:color w:val="FFFFFF" w:themeColor="background1"/>
              </w:rPr>
            </w:pPr>
            <w:r w:rsidRPr="00874ED9">
              <w:rPr>
                <w:rFonts w:ascii="Arial Nova" w:hAnsi="Arial Nova" w:cstheme="minorHAnsi"/>
                <w:b/>
                <w:noProof/>
                <w:color w:val="FFFFFF" w:themeColor="background1"/>
              </w:rPr>
              <w:t>Baseline (</w:t>
            </w:r>
            <w:r>
              <w:rPr>
                <w:rFonts w:ascii="Arial Nova" w:hAnsi="Arial Nova" w:cstheme="minorHAnsi"/>
                <w:b/>
                <w:noProof/>
                <w:color w:val="FFFFFF" w:themeColor="background1"/>
              </w:rPr>
              <w:t>Y</w:t>
            </w:r>
            <w:r w:rsidRPr="00874ED9">
              <w:rPr>
                <w:rFonts w:ascii="Arial Nova" w:hAnsi="Arial Nova" w:cstheme="minorHAnsi"/>
                <w:b/>
                <w:noProof/>
                <w:color w:val="FFFFFF" w:themeColor="background1"/>
              </w:rPr>
              <w:t>ear)</w:t>
            </w:r>
          </w:p>
        </w:tc>
        <w:tc>
          <w:tcPr>
            <w:tcW w:w="823" w:type="pct"/>
            <w:tcBorders>
              <w:bottom w:val="single" w:sz="4" w:space="0" w:color="auto"/>
            </w:tcBorders>
            <w:shd w:val="clear" w:color="auto" w:fill="000000" w:themeFill="text1"/>
            <w:vAlign w:val="center"/>
          </w:tcPr>
          <w:p w:rsidR="00B07FD1" w:rsidRPr="00874ED9" w:rsidRDefault="00B07FD1" w:rsidP="00826F5D">
            <w:pPr>
              <w:jc w:val="center"/>
              <w:rPr>
                <w:rFonts w:ascii="Arial Nova" w:hAnsi="Arial Nova" w:cstheme="minorHAnsi"/>
                <w:b/>
                <w:noProof/>
                <w:color w:val="FFFFFF" w:themeColor="background1"/>
              </w:rPr>
            </w:pPr>
            <w:r w:rsidRPr="00874ED9">
              <w:rPr>
                <w:rFonts w:ascii="Arial Nova" w:hAnsi="Arial Nova" w:cstheme="minorHAnsi"/>
                <w:b/>
                <w:noProof/>
                <w:color w:val="FFFFFF" w:themeColor="background1"/>
              </w:rPr>
              <w:t>Target (</w:t>
            </w:r>
            <w:r>
              <w:rPr>
                <w:rFonts w:ascii="Arial Nova" w:hAnsi="Arial Nova" w:cstheme="minorHAnsi"/>
                <w:b/>
                <w:noProof/>
                <w:color w:val="FFFFFF" w:themeColor="background1"/>
              </w:rPr>
              <w:t>D</w:t>
            </w:r>
            <w:r w:rsidRPr="00874ED9">
              <w:rPr>
                <w:rFonts w:ascii="Arial Nova" w:hAnsi="Arial Nova" w:cstheme="minorHAnsi"/>
                <w:b/>
                <w:noProof/>
                <w:color w:val="FFFFFF" w:themeColor="background1"/>
              </w:rPr>
              <w:t>ate)</w:t>
            </w:r>
          </w:p>
        </w:tc>
        <w:tc>
          <w:tcPr>
            <w:tcW w:w="953" w:type="pct"/>
            <w:tcBorders>
              <w:bottom w:val="single" w:sz="4" w:space="0" w:color="auto"/>
            </w:tcBorders>
            <w:shd w:val="clear" w:color="auto" w:fill="000000" w:themeFill="text1"/>
            <w:vAlign w:val="center"/>
          </w:tcPr>
          <w:p w:rsidR="00B07FD1" w:rsidRPr="00874ED9" w:rsidRDefault="00B07FD1" w:rsidP="00826F5D">
            <w:pPr>
              <w:jc w:val="center"/>
              <w:rPr>
                <w:rFonts w:ascii="Arial Nova" w:hAnsi="Arial Nova" w:cstheme="minorHAnsi"/>
                <w:b/>
                <w:noProof/>
                <w:color w:val="FFFFFF" w:themeColor="background1"/>
              </w:rPr>
            </w:pPr>
            <w:r w:rsidRPr="00874ED9">
              <w:rPr>
                <w:rFonts w:ascii="Arial Nova" w:hAnsi="Arial Nova" w:cstheme="minorHAnsi"/>
                <w:b/>
                <w:noProof/>
                <w:color w:val="FFFFFF" w:themeColor="background1"/>
              </w:rPr>
              <w:t>Data Source</w:t>
            </w:r>
          </w:p>
        </w:tc>
      </w:tr>
      <w:tr w:rsidR="00B07FD1" w:rsidRPr="00C069FE" w:rsidTr="00826F5D">
        <w:trPr>
          <w:trHeight w:hRule="exact" w:val="101"/>
        </w:trPr>
        <w:tc>
          <w:tcPr>
            <w:tcW w:w="2224" w:type="pct"/>
            <w:tcBorders>
              <w:left w:val="nil"/>
              <w:right w:val="nil"/>
            </w:tcBorders>
            <w:shd w:val="clear" w:color="auto" w:fill="FFFFFF" w:themeFill="background1"/>
            <w:vAlign w:val="center"/>
          </w:tcPr>
          <w:p w:rsidR="00B07FD1" w:rsidRPr="00874ED9" w:rsidRDefault="00B07FD1" w:rsidP="00826F5D">
            <w:pPr>
              <w:rPr>
                <w:rFonts w:ascii="Arial Nova" w:hAnsi="Arial Nova" w:cstheme="minorHAnsi"/>
                <w:b/>
                <w:noProof/>
                <w:color w:val="FFFFFF" w:themeColor="background1"/>
              </w:rPr>
            </w:pPr>
          </w:p>
        </w:tc>
        <w:tc>
          <w:tcPr>
            <w:tcW w:w="1000" w:type="pct"/>
            <w:tcBorders>
              <w:left w:val="nil"/>
              <w:right w:val="nil"/>
            </w:tcBorders>
            <w:shd w:val="clear" w:color="auto" w:fill="FFFFFF" w:themeFill="background1"/>
            <w:vAlign w:val="center"/>
          </w:tcPr>
          <w:p w:rsidR="00B07FD1" w:rsidRPr="00874ED9" w:rsidRDefault="00B07FD1" w:rsidP="00826F5D">
            <w:pPr>
              <w:jc w:val="center"/>
              <w:rPr>
                <w:rFonts w:ascii="Arial Nova" w:hAnsi="Arial Nova" w:cstheme="minorHAnsi"/>
                <w:b/>
                <w:noProof/>
                <w:color w:val="FFFFFF" w:themeColor="background1"/>
              </w:rPr>
            </w:pPr>
          </w:p>
        </w:tc>
        <w:tc>
          <w:tcPr>
            <w:tcW w:w="823" w:type="pct"/>
            <w:tcBorders>
              <w:left w:val="nil"/>
              <w:right w:val="nil"/>
            </w:tcBorders>
            <w:shd w:val="clear" w:color="auto" w:fill="FFFFFF" w:themeFill="background1"/>
            <w:vAlign w:val="center"/>
          </w:tcPr>
          <w:p w:rsidR="00B07FD1" w:rsidRPr="00874ED9" w:rsidRDefault="00B07FD1" w:rsidP="00826F5D">
            <w:pPr>
              <w:jc w:val="center"/>
              <w:rPr>
                <w:rFonts w:ascii="Arial Nova" w:hAnsi="Arial Nova" w:cstheme="minorHAnsi"/>
                <w:b/>
                <w:noProof/>
                <w:color w:val="FFFFFF" w:themeColor="background1"/>
              </w:rPr>
            </w:pPr>
          </w:p>
        </w:tc>
        <w:tc>
          <w:tcPr>
            <w:tcW w:w="953" w:type="pct"/>
            <w:tcBorders>
              <w:left w:val="nil"/>
              <w:right w:val="nil"/>
            </w:tcBorders>
            <w:shd w:val="clear" w:color="auto" w:fill="FFFFFF" w:themeFill="background1"/>
            <w:vAlign w:val="center"/>
          </w:tcPr>
          <w:p w:rsidR="00B07FD1" w:rsidRPr="00874ED9" w:rsidRDefault="00B07FD1" w:rsidP="00826F5D">
            <w:pPr>
              <w:jc w:val="center"/>
              <w:rPr>
                <w:rFonts w:ascii="Arial Nova" w:hAnsi="Arial Nova" w:cstheme="minorHAnsi"/>
                <w:b/>
                <w:noProof/>
                <w:color w:val="FFFFFF" w:themeColor="background1"/>
              </w:rPr>
            </w:pPr>
          </w:p>
        </w:tc>
      </w:tr>
      <w:tr w:rsidR="00B07FD1" w:rsidRPr="00C069FE" w:rsidTr="00826F5D">
        <w:tc>
          <w:tcPr>
            <w:tcW w:w="2224" w:type="pct"/>
            <w:vAlign w:val="center"/>
          </w:tcPr>
          <w:p w:rsidR="00B07FD1" w:rsidRPr="00874ED9" w:rsidRDefault="00B07FD1" w:rsidP="00826F5D">
            <w:pPr>
              <w:pStyle w:val="ListParagraph"/>
              <w:numPr>
                <w:ilvl w:val="0"/>
                <w:numId w:val="13"/>
              </w:numPr>
              <w:contextualSpacing/>
              <w:rPr>
                <w:rFonts w:ascii="Arial Nova" w:hAnsi="Arial Nova" w:cstheme="minorHAnsi"/>
                <w:b/>
                <w:bCs/>
                <w:noProof/>
                <w:sz w:val="20"/>
              </w:rPr>
            </w:pPr>
            <w:r w:rsidRPr="00874ED9">
              <w:rPr>
                <w:rFonts w:ascii="Arial Nova" w:hAnsi="Arial Nova" w:cstheme="minorHAnsi"/>
                <w:b/>
                <w:bCs/>
                <w:noProof/>
                <w:sz w:val="20"/>
              </w:rPr>
              <w:t>Percent of children with decay experience</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Head Start &amp; California State Preschool</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Kindergarten</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Third Grade</w:t>
            </w:r>
          </w:p>
        </w:tc>
        <w:tc>
          <w:tcPr>
            <w:tcW w:w="1000" w:type="pct"/>
            <w:vAlign w:val="center"/>
          </w:tcPr>
          <w:p w:rsidR="00B07FD1" w:rsidRPr="00874ED9" w:rsidRDefault="00B07FD1" w:rsidP="00826F5D">
            <w:pPr>
              <w:jc w:val="center"/>
              <w:rPr>
                <w:rFonts w:ascii="Arial Nova" w:hAnsi="Arial Nova" w:cstheme="minorHAnsi"/>
                <w:noProof/>
                <w:sz w:val="20"/>
              </w:rPr>
            </w:pP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Not Available</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53.6% (2004-2005)</w:t>
            </w:r>
            <w:r w:rsidRPr="00874ED9">
              <w:rPr>
                <w:rFonts w:ascii="Arial Nova" w:hAnsi="Arial Nova" w:cstheme="minorHAnsi"/>
                <w:noProof/>
                <w:sz w:val="20"/>
                <w:vertAlign w:val="superscript"/>
              </w:rPr>
              <w:t>a</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70.9% (2004-2005)</w:t>
            </w:r>
            <w:r w:rsidRPr="00874ED9">
              <w:rPr>
                <w:rFonts w:ascii="Arial Nova" w:hAnsi="Arial Nova" w:cstheme="minorHAnsi"/>
                <w:noProof/>
                <w:sz w:val="20"/>
                <w:vertAlign w:val="superscript"/>
              </w:rPr>
              <w:t xml:space="preserve"> a</w:t>
            </w:r>
          </w:p>
        </w:tc>
        <w:tc>
          <w:tcPr>
            <w:tcW w:w="823" w:type="pct"/>
            <w:vAlign w:val="center"/>
          </w:tcPr>
          <w:p w:rsidR="00B07FD1" w:rsidRPr="00874ED9" w:rsidRDefault="00B07FD1" w:rsidP="00826F5D">
            <w:pPr>
              <w:jc w:val="center"/>
              <w:rPr>
                <w:rFonts w:ascii="Arial Nova" w:hAnsi="Arial Nova" w:cstheme="minorHAnsi"/>
                <w:noProof/>
                <w:sz w:val="20"/>
              </w:rPr>
            </w:pP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To be Determined</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48.2% (2021-2022)</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63.8% (2021-2022)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 xml:space="preserve">Kings County Local Oral Health </w:t>
            </w:r>
            <w:r>
              <w:rPr>
                <w:rFonts w:ascii="Arial Nova" w:hAnsi="Arial Nova" w:cstheme="minorHAnsi"/>
                <w:noProof/>
                <w:sz w:val="20"/>
              </w:rPr>
              <w:t xml:space="preserve">Program Oral Health </w:t>
            </w:r>
            <w:r w:rsidRPr="00874ED9">
              <w:rPr>
                <w:rFonts w:ascii="Arial Nova" w:hAnsi="Arial Nova" w:cstheme="minorHAnsi"/>
                <w:noProof/>
                <w:sz w:val="20"/>
              </w:rPr>
              <w:t>Screening Form</w:t>
            </w:r>
          </w:p>
        </w:tc>
      </w:tr>
      <w:tr w:rsidR="00B07FD1" w:rsidRPr="00C069FE" w:rsidTr="00826F5D">
        <w:tc>
          <w:tcPr>
            <w:tcW w:w="2224" w:type="pct"/>
            <w:vAlign w:val="center"/>
          </w:tcPr>
          <w:p w:rsidR="00B07FD1" w:rsidRPr="00874ED9" w:rsidRDefault="00B07FD1" w:rsidP="00826F5D">
            <w:pPr>
              <w:pStyle w:val="ListParagraph"/>
              <w:numPr>
                <w:ilvl w:val="0"/>
                <w:numId w:val="13"/>
              </w:numPr>
              <w:tabs>
                <w:tab w:val="left" w:pos="360"/>
              </w:tabs>
              <w:contextualSpacing/>
              <w:rPr>
                <w:rFonts w:ascii="Arial Nova" w:hAnsi="Arial Nova" w:cstheme="minorHAnsi"/>
                <w:b/>
                <w:bCs/>
                <w:noProof/>
                <w:sz w:val="20"/>
              </w:rPr>
            </w:pPr>
            <w:r w:rsidRPr="00874ED9">
              <w:rPr>
                <w:rFonts w:ascii="Arial Nova" w:hAnsi="Arial Nova" w:cstheme="minorHAnsi"/>
                <w:b/>
                <w:bCs/>
                <w:noProof/>
                <w:sz w:val="20"/>
              </w:rPr>
              <w:t>Percent of children with untreated decay</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Head Start &amp; California State Preschool</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Kindergarten</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Third Grade</w:t>
            </w:r>
          </w:p>
        </w:tc>
        <w:tc>
          <w:tcPr>
            <w:tcW w:w="1000" w:type="pct"/>
            <w:vAlign w:val="center"/>
          </w:tcPr>
          <w:p w:rsidR="00B07FD1" w:rsidRPr="00874ED9" w:rsidRDefault="00B07FD1" w:rsidP="00826F5D">
            <w:pPr>
              <w:jc w:val="center"/>
              <w:rPr>
                <w:rFonts w:ascii="Arial Nova" w:hAnsi="Arial Nova" w:cstheme="minorHAnsi"/>
                <w:noProof/>
                <w:sz w:val="20"/>
              </w:rPr>
            </w:pP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Not Available</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27.9% (2004-2005)</w:t>
            </w:r>
            <w:r w:rsidRPr="00874ED9">
              <w:rPr>
                <w:rFonts w:ascii="Arial Nova" w:hAnsi="Arial Nova" w:cstheme="minorHAnsi"/>
                <w:noProof/>
                <w:sz w:val="20"/>
                <w:vertAlign w:val="superscript"/>
              </w:rPr>
              <w:t xml:space="preserve"> a</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28.7% (2004-2005)</w:t>
            </w:r>
            <w:r w:rsidRPr="00874ED9">
              <w:rPr>
                <w:rFonts w:ascii="Arial Nova" w:hAnsi="Arial Nova" w:cstheme="minorHAnsi"/>
                <w:noProof/>
                <w:sz w:val="20"/>
                <w:vertAlign w:val="superscript"/>
              </w:rPr>
              <w:t xml:space="preserve"> a</w:t>
            </w:r>
          </w:p>
        </w:tc>
        <w:tc>
          <w:tcPr>
            <w:tcW w:w="823" w:type="pct"/>
            <w:vAlign w:val="center"/>
          </w:tcPr>
          <w:p w:rsidR="00B07FD1" w:rsidRPr="00874ED9" w:rsidRDefault="00B07FD1" w:rsidP="00826F5D">
            <w:pPr>
              <w:jc w:val="center"/>
              <w:rPr>
                <w:rFonts w:ascii="Arial Nova" w:hAnsi="Arial Nova" w:cstheme="minorHAnsi"/>
                <w:noProof/>
                <w:sz w:val="20"/>
              </w:rPr>
            </w:pP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To be Determined</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25.1% (2021-2022)</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25.8% (2021-2022)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Kings County Local Oral Health Screening Form</w:t>
            </w:r>
          </w:p>
        </w:tc>
      </w:tr>
      <w:tr w:rsidR="00B07FD1" w:rsidRPr="00C069FE" w:rsidTr="00826F5D">
        <w:tc>
          <w:tcPr>
            <w:tcW w:w="2224" w:type="pct"/>
            <w:vAlign w:val="center"/>
          </w:tcPr>
          <w:p w:rsidR="00B07FD1" w:rsidRPr="00874ED9" w:rsidRDefault="00B07FD1" w:rsidP="00826F5D">
            <w:pPr>
              <w:pStyle w:val="ListParagraph"/>
              <w:numPr>
                <w:ilvl w:val="0"/>
                <w:numId w:val="13"/>
              </w:numPr>
              <w:tabs>
                <w:tab w:val="left" w:pos="360"/>
              </w:tabs>
              <w:contextualSpacing/>
              <w:rPr>
                <w:rFonts w:ascii="Arial Nova" w:hAnsi="Arial Nova" w:cstheme="minorHAnsi"/>
                <w:b/>
                <w:bCs/>
                <w:noProof/>
                <w:sz w:val="20"/>
              </w:rPr>
            </w:pPr>
            <w:r w:rsidRPr="00874ED9">
              <w:rPr>
                <w:rFonts w:ascii="Arial Nova" w:hAnsi="Arial Nova" w:cstheme="minorHAnsi"/>
                <w:b/>
                <w:bCs/>
                <w:noProof/>
                <w:sz w:val="20"/>
              </w:rPr>
              <w:t>Percent of third grade children with dental sealants</w:t>
            </w:r>
          </w:p>
        </w:tc>
        <w:tc>
          <w:tcPr>
            <w:tcW w:w="1000"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27.6% (2004-2005)</w:t>
            </w:r>
            <w:r w:rsidRPr="00874ED9">
              <w:rPr>
                <w:rFonts w:ascii="Arial Nova" w:hAnsi="Arial Nova" w:cstheme="minorHAnsi"/>
                <w:noProof/>
                <w:sz w:val="20"/>
                <w:vertAlign w:val="superscript"/>
              </w:rPr>
              <w:t xml:space="preserve"> a</w:t>
            </w:r>
          </w:p>
        </w:tc>
        <w:tc>
          <w:tcPr>
            <w:tcW w:w="82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30.4% (2021-2022)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Kings County Local Oral Health Screening Form</w:t>
            </w:r>
          </w:p>
        </w:tc>
      </w:tr>
      <w:tr w:rsidR="00B07FD1" w:rsidRPr="00C069FE" w:rsidTr="00B177A2">
        <w:trPr>
          <w:trHeight w:val="580"/>
        </w:trPr>
        <w:tc>
          <w:tcPr>
            <w:tcW w:w="2224" w:type="pct"/>
            <w:vAlign w:val="center"/>
          </w:tcPr>
          <w:p w:rsidR="00B07FD1" w:rsidRPr="00874ED9" w:rsidRDefault="00B07FD1" w:rsidP="00826F5D">
            <w:pPr>
              <w:pStyle w:val="ListParagraph"/>
              <w:numPr>
                <w:ilvl w:val="0"/>
                <w:numId w:val="13"/>
              </w:numPr>
              <w:tabs>
                <w:tab w:val="left" w:pos="360"/>
              </w:tabs>
              <w:contextualSpacing/>
              <w:rPr>
                <w:rFonts w:ascii="Arial Nova" w:hAnsi="Arial Nova" w:cstheme="minorHAnsi"/>
                <w:b/>
                <w:bCs/>
                <w:noProof/>
                <w:sz w:val="20"/>
              </w:rPr>
            </w:pPr>
            <w:r w:rsidRPr="00874ED9">
              <w:rPr>
                <w:rFonts w:ascii="Arial Nova" w:hAnsi="Arial Nova" w:cstheme="minorHAnsi"/>
                <w:b/>
                <w:bCs/>
                <w:noProof/>
                <w:sz w:val="20"/>
              </w:rPr>
              <w:t>Number of schools with a school-based or school-linked dental sealant program</w:t>
            </w:r>
          </w:p>
        </w:tc>
        <w:tc>
          <w:tcPr>
            <w:tcW w:w="1000"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0 (2018-2019)</w:t>
            </w:r>
          </w:p>
        </w:tc>
        <w:tc>
          <w:tcPr>
            <w:tcW w:w="82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1 (2020-2021)</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3 (2021-2022)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Kings County LOHP</w:t>
            </w:r>
          </w:p>
        </w:tc>
      </w:tr>
      <w:tr w:rsidR="00B07FD1" w:rsidRPr="00C069FE" w:rsidTr="00B177A2">
        <w:trPr>
          <w:trHeight w:val="715"/>
        </w:trPr>
        <w:tc>
          <w:tcPr>
            <w:tcW w:w="2224" w:type="pct"/>
            <w:vAlign w:val="center"/>
          </w:tcPr>
          <w:p w:rsidR="00B07FD1" w:rsidRPr="00874ED9" w:rsidRDefault="00B07FD1" w:rsidP="00826F5D">
            <w:pPr>
              <w:pStyle w:val="ListParagraph"/>
              <w:numPr>
                <w:ilvl w:val="0"/>
                <w:numId w:val="13"/>
              </w:numPr>
              <w:tabs>
                <w:tab w:val="left" w:pos="360"/>
              </w:tabs>
              <w:contextualSpacing/>
              <w:rPr>
                <w:rFonts w:ascii="Arial Nova" w:hAnsi="Arial Nova" w:cstheme="minorHAnsi"/>
                <w:b/>
                <w:bCs/>
                <w:noProof/>
                <w:sz w:val="20"/>
              </w:rPr>
            </w:pPr>
            <w:r w:rsidRPr="00874ED9">
              <w:rPr>
                <w:rFonts w:ascii="Arial Nova" w:hAnsi="Arial Nova" w:cstheme="minorHAnsi"/>
                <w:b/>
                <w:bCs/>
                <w:noProof/>
                <w:sz w:val="20"/>
              </w:rPr>
              <w:t>Number of schools with a school-based oral health screening, referral and case management program</w:t>
            </w:r>
          </w:p>
        </w:tc>
        <w:tc>
          <w:tcPr>
            <w:tcW w:w="1000"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0 (2018-2019)</w:t>
            </w:r>
          </w:p>
        </w:tc>
        <w:tc>
          <w:tcPr>
            <w:tcW w:w="82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5(2019-2020)</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7 (2020-2021)</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9 (2021-2022)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Kings County LOHP</w:t>
            </w:r>
          </w:p>
        </w:tc>
      </w:tr>
      <w:tr w:rsidR="00B07FD1" w:rsidRPr="00C069FE" w:rsidTr="00826F5D">
        <w:trPr>
          <w:trHeight w:val="638"/>
        </w:trPr>
        <w:tc>
          <w:tcPr>
            <w:tcW w:w="2224" w:type="pct"/>
            <w:vAlign w:val="center"/>
          </w:tcPr>
          <w:p w:rsidR="00B07FD1" w:rsidRPr="00874ED9" w:rsidRDefault="00B07FD1" w:rsidP="00826F5D">
            <w:pPr>
              <w:pStyle w:val="ListParagraph"/>
              <w:numPr>
                <w:ilvl w:val="0"/>
                <w:numId w:val="13"/>
              </w:numPr>
              <w:tabs>
                <w:tab w:val="left" w:pos="360"/>
              </w:tabs>
              <w:contextualSpacing/>
              <w:rPr>
                <w:rFonts w:ascii="Arial Nova" w:hAnsi="Arial Nova" w:cstheme="minorHAnsi"/>
                <w:b/>
                <w:bCs/>
                <w:noProof/>
                <w:sz w:val="20"/>
              </w:rPr>
            </w:pPr>
            <w:r w:rsidRPr="00874ED9">
              <w:rPr>
                <w:rFonts w:ascii="Arial Nova" w:hAnsi="Arial Nova" w:cstheme="minorHAnsi"/>
                <w:b/>
                <w:bCs/>
                <w:noProof/>
                <w:sz w:val="20"/>
              </w:rPr>
              <w:t>Number of California State Preschool sites with a daily toothbrushing program</w:t>
            </w:r>
          </w:p>
        </w:tc>
        <w:tc>
          <w:tcPr>
            <w:tcW w:w="1000"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0 (2018-2019)</w:t>
            </w:r>
          </w:p>
        </w:tc>
        <w:tc>
          <w:tcPr>
            <w:tcW w:w="82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4 (2020-2021)</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8 (2021-2022)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Kings County LOHP</w:t>
            </w:r>
          </w:p>
        </w:tc>
      </w:tr>
      <w:tr w:rsidR="00B07FD1" w:rsidRPr="00C069FE" w:rsidTr="00826F5D">
        <w:tc>
          <w:tcPr>
            <w:tcW w:w="2224" w:type="pct"/>
            <w:vAlign w:val="center"/>
          </w:tcPr>
          <w:p w:rsidR="00B07FD1" w:rsidRPr="00874ED9" w:rsidRDefault="00B07FD1" w:rsidP="00826F5D">
            <w:pPr>
              <w:pStyle w:val="ListParagraph"/>
              <w:numPr>
                <w:ilvl w:val="0"/>
                <w:numId w:val="13"/>
              </w:numPr>
              <w:tabs>
                <w:tab w:val="left" w:pos="360"/>
              </w:tabs>
              <w:contextualSpacing/>
              <w:rPr>
                <w:rFonts w:ascii="Arial Nova" w:hAnsi="Arial Nova" w:cstheme="minorHAnsi"/>
                <w:b/>
                <w:bCs/>
                <w:noProof/>
                <w:sz w:val="20"/>
              </w:rPr>
            </w:pPr>
            <w:r w:rsidRPr="00874ED9">
              <w:rPr>
                <w:rFonts w:ascii="Arial Nova" w:hAnsi="Arial Nova" w:cstheme="minorHAnsi"/>
                <w:b/>
                <w:bCs/>
                <w:noProof/>
                <w:sz w:val="20"/>
              </w:rPr>
              <w:t>Percent of Medi-Cal children with a dental visit</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0-5 years</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6-9 years</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10-14 years</w:t>
            </w:r>
          </w:p>
          <w:p w:rsidR="00B07FD1" w:rsidRPr="00874ED9" w:rsidRDefault="00B07FD1" w:rsidP="00826F5D">
            <w:pPr>
              <w:pStyle w:val="ListParagraph"/>
              <w:numPr>
                <w:ilvl w:val="1"/>
                <w:numId w:val="13"/>
              </w:numPr>
              <w:tabs>
                <w:tab w:val="left" w:pos="360"/>
              </w:tabs>
              <w:contextualSpacing/>
              <w:rPr>
                <w:rFonts w:ascii="Arial Nova" w:hAnsi="Arial Nova" w:cstheme="minorHAnsi"/>
                <w:noProof/>
                <w:sz w:val="20"/>
              </w:rPr>
            </w:pPr>
            <w:r w:rsidRPr="00874ED9">
              <w:rPr>
                <w:rFonts w:ascii="Arial Nova" w:hAnsi="Arial Nova" w:cstheme="minorHAnsi"/>
                <w:noProof/>
                <w:sz w:val="20"/>
              </w:rPr>
              <w:t>15-18 years</w:t>
            </w:r>
          </w:p>
        </w:tc>
        <w:tc>
          <w:tcPr>
            <w:tcW w:w="1000" w:type="pct"/>
            <w:vAlign w:val="center"/>
          </w:tcPr>
          <w:p w:rsidR="00B07FD1" w:rsidRPr="00874ED9" w:rsidRDefault="00B07FD1" w:rsidP="00826F5D">
            <w:pPr>
              <w:jc w:val="center"/>
              <w:rPr>
                <w:rFonts w:ascii="Arial Nova" w:hAnsi="Arial Nova" w:cstheme="minorHAnsi"/>
                <w:noProof/>
                <w:sz w:val="20"/>
              </w:rPr>
            </w:pP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3</w:t>
            </w:r>
            <w:r>
              <w:rPr>
                <w:rFonts w:ascii="Arial Nova" w:hAnsi="Arial Nova" w:cstheme="minorHAnsi"/>
                <w:noProof/>
                <w:sz w:val="20"/>
              </w:rPr>
              <w:t>5</w:t>
            </w:r>
            <w:r w:rsidRPr="00874ED9">
              <w:rPr>
                <w:rFonts w:ascii="Arial Nova" w:hAnsi="Arial Nova" w:cstheme="minorHAnsi"/>
                <w:noProof/>
                <w:sz w:val="20"/>
              </w:rPr>
              <w:t>% (201</w:t>
            </w:r>
            <w:r>
              <w:rPr>
                <w:rFonts w:ascii="Arial Nova" w:hAnsi="Arial Nova" w:cstheme="minorHAnsi"/>
                <w:noProof/>
                <w:sz w:val="20"/>
              </w:rPr>
              <w:t>7</w:t>
            </w:r>
            <w:r w:rsidRPr="00874ED9">
              <w:rPr>
                <w:rFonts w:ascii="Arial Nova" w:hAnsi="Arial Nova" w:cstheme="minorHAnsi"/>
                <w:noProof/>
                <w:sz w:val="20"/>
              </w:rPr>
              <w:t>)</w:t>
            </w:r>
          </w:p>
          <w:p w:rsidR="00B07FD1" w:rsidRPr="00874ED9" w:rsidRDefault="00B07FD1" w:rsidP="00826F5D">
            <w:pPr>
              <w:jc w:val="center"/>
              <w:rPr>
                <w:rFonts w:ascii="Arial Nova" w:hAnsi="Arial Nova" w:cstheme="minorHAnsi"/>
                <w:noProof/>
                <w:sz w:val="20"/>
              </w:rPr>
            </w:pPr>
            <w:r>
              <w:rPr>
                <w:rFonts w:ascii="Arial Nova" w:hAnsi="Arial Nova" w:cstheme="minorHAnsi"/>
                <w:noProof/>
                <w:sz w:val="20"/>
              </w:rPr>
              <w:t>59</w:t>
            </w:r>
            <w:r w:rsidRPr="00874ED9">
              <w:rPr>
                <w:rFonts w:ascii="Arial Nova" w:hAnsi="Arial Nova" w:cstheme="minorHAnsi"/>
                <w:noProof/>
                <w:sz w:val="20"/>
              </w:rPr>
              <w:t>% (201</w:t>
            </w:r>
            <w:r>
              <w:rPr>
                <w:rFonts w:ascii="Arial Nova" w:hAnsi="Arial Nova" w:cstheme="minorHAnsi"/>
                <w:noProof/>
                <w:sz w:val="20"/>
              </w:rPr>
              <w:t>7</w:t>
            </w:r>
            <w:r w:rsidRPr="00874ED9">
              <w:rPr>
                <w:rFonts w:ascii="Arial Nova" w:hAnsi="Arial Nova" w:cstheme="minorHAnsi"/>
                <w:noProof/>
                <w:sz w:val="20"/>
              </w:rPr>
              <w:t>)</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51% (201</w:t>
            </w:r>
            <w:r>
              <w:rPr>
                <w:rFonts w:ascii="Arial Nova" w:hAnsi="Arial Nova" w:cstheme="minorHAnsi"/>
                <w:noProof/>
                <w:sz w:val="20"/>
              </w:rPr>
              <w:t>7</w:t>
            </w:r>
            <w:r w:rsidRPr="00874ED9">
              <w:rPr>
                <w:rFonts w:ascii="Arial Nova" w:hAnsi="Arial Nova" w:cstheme="minorHAnsi"/>
                <w:noProof/>
                <w:sz w:val="20"/>
              </w:rPr>
              <w:t>)</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4</w:t>
            </w:r>
            <w:r>
              <w:rPr>
                <w:rFonts w:ascii="Arial Nova" w:hAnsi="Arial Nova" w:cstheme="minorHAnsi"/>
                <w:noProof/>
                <w:sz w:val="20"/>
              </w:rPr>
              <w:t>2</w:t>
            </w:r>
            <w:r w:rsidRPr="00874ED9">
              <w:rPr>
                <w:rFonts w:ascii="Arial Nova" w:hAnsi="Arial Nova" w:cstheme="minorHAnsi"/>
                <w:noProof/>
                <w:sz w:val="20"/>
              </w:rPr>
              <w:t>% (201</w:t>
            </w:r>
            <w:r>
              <w:rPr>
                <w:rFonts w:ascii="Arial Nova" w:hAnsi="Arial Nova" w:cstheme="minorHAnsi"/>
                <w:noProof/>
                <w:sz w:val="20"/>
              </w:rPr>
              <w:t>7</w:t>
            </w:r>
            <w:r w:rsidRPr="00874ED9">
              <w:rPr>
                <w:rFonts w:ascii="Arial Nova" w:hAnsi="Arial Nova" w:cstheme="minorHAnsi"/>
                <w:noProof/>
                <w:sz w:val="20"/>
              </w:rPr>
              <w:t>)</w:t>
            </w:r>
          </w:p>
        </w:tc>
        <w:tc>
          <w:tcPr>
            <w:tcW w:w="823" w:type="pct"/>
            <w:vAlign w:val="center"/>
          </w:tcPr>
          <w:p w:rsidR="00B07FD1" w:rsidRPr="00874ED9" w:rsidRDefault="00B07FD1" w:rsidP="00826F5D">
            <w:pPr>
              <w:jc w:val="center"/>
              <w:rPr>
                <w:rFonts w:ascii="Arial Nova" w:hAnsi="Arial Nova" w:cstheme="minorHAnsi"/>
                <w:noProof/>
                <w:sz w:val="20"/>
              </w:rPr>
            </w:pP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36% (2022)</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66% (2022)</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56% (2022)</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44% (2022)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 xml:space="preserve">Medi-Cal </w:t>
            </w:r>
            <w:r w:rsidRPr="00A775C1">
              <w:rPr>
                <w:rFonts w:ascii="Arial Nova" w:eastAsia="Calibri" w:hAnsi="Arial Nova" w:cstheme="minorHAnsi"/>
                <w:noProof/>
                <w:sz w:val="20"/>
                <w:szCs w:val="20"/>
              </w:rPr>
              <w:t xml:space="preserve">Dental Utilization Measures and Sealant Data by County and Age </w:t>
            </w:r>
          </w:p>
        </w:tc>
      </w:tr>
      <w:tr w:rsidR="00B07FD1" w:rsidRPr="00C069FE" w:rsidTr="00826F5D">
        <w:tc>
          <w:tcPr>
            <w:tcW w:w="2224" w:type="pct"/>
            <w:vAlign w:val="center"/>
          </w:tcPr>
          <w:p w:rsidR="00B07FD1" w:rsidRPr="00874ED9" w:rsidRDefault="00B07FD1" w:rsidP="00826F5D">
            <w:pPr>
              <w:pStyle w:val="ListParagraph"/>
              <w:numPr>
                <w:ilvl w:val="0"/>
                <w:numId w:val="13"/>
              </w:numPr>
              <w:contextualSpacing/>
              <w:rPr>
                <w:rFonts w:ascii="Arial Nova" w:hAnsi="Arial Nova" w:cstheme="minorHAnsi"/>
                <w:b/>
                <w:bCs/>
                <w:noProof/>
                <w:sz w:val="20"/>
              </w:rPr>
            </w:pPr>
            <w:r w:rsidRPr="00874ED9">
              <w:rPr>
                <w:rFonts w:ascii="Arial Nova" w:hAnsi="Arial Nova" w:cstheme="minorHAnsi"/>
                <w:b/>
                <w:bCs/>
                <w:sz w:val="20"/>
              </w:rPr>
              <w:t>Number of children receiving a fluoride varnish through a Kings County Public Health Program</w:t>
            </w:r>
          </w:p>
        </w:tc>
        <w:tc>
          <w:tcPr>
            <w:tcW w:w="1000" w:type="pct"/>
            <w:shd w:val="clear" w:color="auto" w:fill="auto"/>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0 (2019)</w:t>
            </w:r>
          </w:p>
        </w:tc>
        <w:tc>
          <w:tcPr>
            <w:tcW w:w="823" w:type="pct"/>
            <w:shd w:val="clear" w:color="auto" w:fill="auto"/>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500 (2022)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Kings County LOHP</w:t>
            </w:r>
          </w:p>
        </w:tc>
      </w:tr>
      <w:tr w:rsidR="00B07FD1" w:rsidRPr="00C069FE" w:rsidTr="00826F5D">
        <w:tc>
          <w:tcPr>
            <w:tcW w:w="2224" w:type="pct"/>
            <w:vAlign w:val="center"/>
          </w:tcPr>
          <w:p w:rsidR="00B07FD1" w:rsidRPr="00874ED9" w:rsidRDefault="00B07FD1" w:rsidP="00826F5D">
            <w:pPr>
              <w:pStyle w:val="ListParagraph"/>
              <w:numPr>
                <w:ilvl w:val="0"/>
                <w:numId w:val="13"/>
              </w:numPr>
              <w:contextualSpacing/>
              <w:rPr>
                <w:rFonts w:ascii="Arial Nova" w:hAnsi="Arial Nova" w:cstheme="minorHAnsi"/>
                <w:b/>
                <w:bCs/>
                <w:sz w:val="20"/>
              </w:rPr>
            </w:pPr>
            <w:r w:rsidRPr="00874ED9">
              <w:rPr>
                <w:rFonts w:ascii="Arial Nova" w:hAnsi="Arial Nova" w:cstheme="minorHAnsi"/>
                <w:b/>
                <w:bCs/>
                <w:sz w:val="20"/>
              </w:rPr>
              <w:t xml:space="preserve">Number of children receiving 3 or more fluoride varnish applications per year through </w:t>
            </w:r>
            <w:r w:rsidR="00B177A2">
              <w:rPr>
                <w:rFonts w:ascii="Arial Nova" w:hAnsi="Arial Nova" w:cstheme="minorHAnsi"/>
                <w:b/>
                <w:bCs/>
                <w:sz w:val="20"/>
              </w:rPr>
              <w:t>the LOHP</w:t>
            </w:r>
          </w:p>
        </w:tc>
        <w:tc>
          <w:tcPr>
            <w:tcW w:w="1000" w:type="pct"/>
            <w:shd w:val="clear" w:color="auto" w:fill="auto"/>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0 (2019)</w:t>
            </w:r>
          </w:p>
        </w:tc>
        <w:tc>
          <w:tcPr>
            <w:tcW w:w="823" w:type="pct"/>
            <w:shd w:val="clear" w:color="auto" w:fill="auto"/>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300 (2022)</w:t>
            </w:r>
          </w:p>
        </w:tc>
        <w:tc>
          <w:tcPr>
            <w:tcW w:w="953" w:type="pct"/>
            <w:shd w:val="clear" w:color="auto" w:fill="auto"/>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Kings County LOHP</w:t>
            </w:r>
          </w:p>
        </w:tc>
      </w:tr>
      <w:tr w:rsidR="00B07FD1" w:rsidRPr="00C069FE" w:rsidTr="00826F5D">
        <w:tc>
          <w:tcPr>
            <w:tcW w:w="2224" w:type="pct"/>
            <w:vAlign w:val="center"/>
          </w:tcPr>
          <w:p w:rsidR="00B07FD1" w:rsidRPr="00874ED9" w:rsidRDefault="00B07FD1" w:rsidP="00826F5D">
            <w:pPr>
              <w:pStyle w:val="ListParagraph"/>
              <w:numPr>
                <w:ilvl w:val="0"/>
                <w:numId w:val="13"/>
              </w:numPr>
              <w:tabs>
                <w:tab w:val="left" w:pos="360"/>
              </w:tabs>
              <w:contextualSpacing/>
              <w:rPr>
                <w:rFonts w:ascii="Arial Nova" w:hAnsi="Arial Nova" w:cstheme="minorHAnsi"/>
                <w:b/>
                <w:bCs/>
                <w:sz w:val="20"/>
              </w:rPr>
            </w:pPr>
            <w:r w:rsidRPr="00874ED9">
              <w:rPr>
                <w:rFonts w:ascii="Arial Nova" w:hAnsi="Arial Nova" w:cstheme="minorHAnsi"/>
                <w:b/>
                <w:bCs/>
                <w:sz w:val="20"/>
              </w:rPr>
              <w:t>Number of schools submitting data for the Kindergarten Oral Health Assessment</w:t>
            </w:r>
          </w:p>
        </w:tc>
        <w:tc>
          <w:tcPr>
            <w:tcW w:w="1000" w:type="pct"/>
            <w:vAlign w:val="center"/>
          </w:tcPr>
          <w:p w:rsidR="00B07FD1" w:rsidRPr="00874ED9" w:rsidRDefault="00B07FD1" w:rsidP="00826F5D">
            <w:pPr>
              <w:jc w:val="center"/>
              <w:rPr>
                <w:rFonts w:ascii="Arial Nova" w:hAnsi="Arial Nova" w:cstheme="minorHAnsi"/>
                <w:noProof/>
                <w:sz w:val="20"/>
              </w:rPr>
            </w:pPr>
            <w:r w:rsidRPr="00874ED9">
              <w:rPr>
                <w:rFonts w:ascii="Arial Nova" w:eastAsia="Times New Roman" w:hAnsi="Arial Nova" w:cstheme="minorHAnsi"/>
                <w:color w:val="000000"/>
                <w:sz w:val="20"/>
              </w:rPr>
              <w:t>1 (2016)</w:t>
            </w:r>
          </w:p>
        </w:tc>
        <w:tc>
          <w:tcPr>
            <w:tcW w:w="82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7(2019-2020)</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15 (2020-2021)</w:t>
            </w:r>
          </w:p>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30 (2021-2022)</w:t>
            </w:r>
          </w:p>
        </w:tc>
        <w:tc>
          <w:tcPr>
            <w:tcW w:w="953" w:type="pct"/>
            <w:vAlign w:val="center"/>
          </w:tcPr>
          <w:p w:rsidR="00B07FD1" w:rsidRPr="00874ED9" w:rsidRDefault="00B07FD1" w:rsidP="00826F5D">
            <w:pPr>
              <w:jc w:val="center"/>
              <w:rPr>
                <w:rFonts w:ascii="Arial Nova" w:hAnsi="Arial Nova" w:cstheme="minorHAnsi"/>
                <w:noProof/>
                <w:sz w:val="20"/>
              </w:rPr>
            </w:pPr>
            <w:r w:rsidRPr="00874ED9">
              <w:rPr>
                <w:rFonts w:ascii="Arial Nova" w:hAnsi="Arial Nova" w:cstheme="minorHAnsi"/>
                <w:noProof/>
                <w:sz w:val="20"/>
              </w:rPr>
              <w:t>Kindergarten Oral Health Assessment</w:t>
            </w:r>
          </w:p>
        </w:tc>
      </w:tr>
    </w:tbl>
    <w:p w:rsidR="00DD09D7" w:rsidRDefault="00DD09D7" w:rsidP="00826F5D">
      <w:pPr>
        <w:spacing w:after="0"/>
        <w:outlineLvl w:val="0"/>
        <w:rPr>
          <w:rFonts w:ascii="Arial Nova" w:hAnsi="Arial Nova"/>
          <w:b/>
          <w:sz w:val="24"/>
          <w:szCs w:val="24"/>
        </w:rPr>
        <w:sectPr w:rsidR="00DD09D7" w:rsidSect="00662B7E">
          <w:pgSz w:w="15840" w:h="12240" w:orient="landscape" w:code="1"/>
          <w:pgMar w:top="1152" w:right="1440" w:bottom="1440" w:left="1440" w:header="720" w:footer="720" w:gutter="0"/>
          <w:pgNumType w:start="13"/>
          <w:cols w:space="720"/>
          <w:docGrid w:linePitch="360"/>
        </w:sectPr>
      </w:pPr>
      <w:bookmarkStart w:id="38" w:name="_Toc531863173"/>
      <w:bookmarkStart w:id="39" w:name="_Hlk11525643"/>
    </w:p>
    <w:p w:rsidR="00AA6FBE" w:rsidRDefault="00AA6FBE" w:rsidP="0076542A">
      <w:pPr>
        <w:pStyle w:val="Heading2"/>
      </w:pPr>
      <w:bookmarkStart w:id="40" w:name="_Toc11741541"/>
      <w:bookmarkStart w:id="41" w:name="_Toc11741543"/>
      <w:bookmarkEnd w:id="38"/>
      <w:bookmarkEnd w:id="39"/>
      <w:r>
        <w:t>Data Collection</w:t>
      </w:r>
      <w:bookmarkEnd w:id="40"/>
    </w:p>
    <w:p w:rsidR="00531672" w:rsidRPr="00531672" w:rsidRDefault="00531672" w:rsidP="00531672">
      <w:pPr>
        <w:rPr>
          <w:rFonts w:ascii="Arial" w:hAnsi="Arial" w:cs="Arial"/>
          <w:sz w:val="24"/>
          <w:szCs w:val="24"/>
        </w:rPr>
      </w:pPr>
      <w:r w:rsidRPr="00531672">
        <w:rPr>
          <w:rFonts w:ascii="Arial" w:hAnsi="Arial" w:cs="Arial"/>
          <w:sz w:val="24"/>
          <w:szCs w:val="24"/>
        </w:rPr>
        <w:t>The Kings County LOHP will include each of the following data collection components:</w:t>
      </w:r>
    </w:p>
    <w:p w:rsidR="00AA6FBE" w:rsidRPr="00121206" w:rsidRDefault="00AA6FBE" w:rsidP="00AA6FBE">
      <w:pPr>
        <w:pStyle w:val="Text"/>
      </w:pPr>
      <w:r w:rsidRPr="00121206">
        <w:rPr>
          <w:b/>
        </w:rPr>
        <w:t>Program documentation.</w:t>
      </w:r>
      <w:r w:rsidRPr="00121206">
        <w:t xml:space="preserve"> </w:t>
      </w:r>
      <w:r>
        <w:t xml:space="preserve">The evaluation team </w:t>
      </w:r>
      <w:r w:rsidRPr="00121206">
        <w:t xml:space="preserve">will work directly with the </w:t>
      </w:r>
      <w:r w:rsidR="00DE6B8F">
        <w:t xml:space="preserve">LOHP </w:t>
      </w:r>
      <w:proofErr w:type="gramStart"/>
      <w:r w:rsidR="00DE6B8F">
        <w:t>Program  Director</w:t>
      </w:r>
      <w:proofErr w:type="gramEnd"/>
      <w:r w:rsidRPr="00121206">
        <w:t xml:space="preserve"> and support staff to compile program materials documenting completion of key tasks. Materials </w:t>
      </w:r>
      <w:r w:rsidR="00DE6B8F">
        <w:t xml:space="preserve">will </w:t>
      </w:r>
      <w:r w:rsidRPr="00121206">
        <w:t xml:space="preserve">include organizational charts, position titles and job descriptions for key staff, meetings dates, membership rosters, meeting agendas, mission, vision, value statements, </w:t>
      </w:r>
      <w:r w:rsidR="00DE6B8F">
        <w:t xml:space="preserve">and </w:t>
      </w:r>
      <w:r w:rsidR="003C4E0A">
        <w:t xml:space="preserve">lists of </w:t>
      </w:r>
      <w:r w:rsidRPr="00121206">
        <w:t>goals and objectives</w:t>
      </w:r>
      <w:r>
        <w:t>.</w:t>
      </w:r>
      <w:r w:rsidRPr="00121206">
        <w:t xml:space="preserve"> This information </w:t>
      </w:r>
      <w:r w:rsidR="003C4E0A">
        <w:t>supports measurement of</w:t>
      </w:r>
      <w:r w:rsidRPr="00121206">
        <w:t xml:space="preserve"> </w:t>
      </w:r>
      <w:r w:rsidR="003C4E0A">
        <w:t>the first five state-defined objectives of the work plan related to the</w:t>
      </w:r>
      <w:r w:rsidRPr="00121206">
        <w:t xml:space="preserve"> creation of new project infrastructure for oral health prevention.</w:t>
      </w:r>
    </w:p>
    <w:p w:rsidR="00AA6FBE" w:rsidRPr="00121206" w:rsidRDefault="00AA6FBE" w:rsidP="00AA6FBE">
      <w:pPr>
        <w:pStyle w:val="Text"/>
      </w:pPr>
      <w:r w:rsidRPr="00121206">
        <w:rPr>
          <w:b/>
        </w:rPr>
        <w:t>Coalition meeting attendance.</w:t>
      </w:r>
      <w:r w:rsidRPr="00121206">
        <w:t xml:space="preserve"> First 5 Kings County staff will maintain sign-in sheets for all coalition members in attendance at monthly collaborati</w:t>
      </w:r>
      <w:r w:rsidR="00322710">
        <w:t>ve</w:t>
      </w:r>
      <w:r w:rsidRPr="00121206">
        <w:t xml:space="preserve"> meetings. Meeting sign-in sheets will be shared with the evaluation team</w:t>
      </w:r>
      <w:r w:rsidR="00322710">
        <w:t xml:space="preserve"> and</w:t>
      </w:r>
      <w:r w:rsidRPr="00121206">
        <w:t xml:space="preserve"> will be analyzed to assess membership composition and re</w:t>
      </w:r>
      <w:r>
        <w:t xml:space="preserve">tention over time. </w:t>
      </w:r>
    </w:p>
    <w:p w:rsidR="00AA6FBE" w:rsidRPr="00121206" w:rsidRDefault="00AA6FBE" w:rsidP="00AA6FBE">
      <w:pPr>
        <w:pStyle w:val="Text"/>
      </w:pPr>
      <w:r w:rsidRPr="00121206">
        <w:rPr>
          <w:b/>
        </w:rPr>
        <w:t>Coalition meeting feedback.</w:t>
      </w:r>
      <w:r w:rsidRPr="00121206">
        <w:t xml:space="preserve"> </w:t>
      </w:r>
      <w:r>
        <w:t>The evaluation team</w:t>
      </w:r>
      <w:r w:rsidRPr="00121206">
        <w:t xml:space="preserve"> developed a brief meeting feedback form to gauge meeting attendee’s perceptions </w:t>
      </w:r>
      <w:r w:rsidR="00322710">
        <w:t>regarding the value of the coalition meeting,</w:t>
      </w:r>
      <w:r w:rsidRPr="00121206">
        <w:t xml:space="preserve"> including </w:t>
      </w:r>
      <w:r>
        <w:t xml:space="preserve">clarity of purpose, organization and efficient use of time, opportunities for questions and discussion, opportunities for collaboration, and relevance to coalition members’ </w:t>
      </w:r>
      <w:r w:rsidR="00322710">
        <w:t xml:space="preserve">own </w:t>
      </w:r>
      <w:r>
        <w:t>work. The form also askes members to rate the oral health coalition on the extent to which it has provided meaningful opportunities to contribute to county planning around oral health prevention, provided direct benefits to members’ work, and positively impacted access to preventative oral health services or resources throughout Kings County. F</w:t>
      </w:r>
      <w:r w:rsidRPr="00121206">
        <w:t xml:space="preserve">eedback forms are distributed at the conclusion of every meeting. Completed forms are transmitted to EMT offices for processing and analysis. </w:t>
      </w:r>
    </w:p>
    <w:p w:rsidR="00AA6FBE" w:rsidRDefault="00AA6FBE" w:rsidP="00AA6FBE">
      <w:pPr>
        <w:pStyle w:val="Text"/>
      </w:pPr>
      <w:r w:rsidRPr="00121206">
        <w:rPr>
          <w:b/>
        </w:rPr>
        <w:t>Baseline assessment of oral health needs.</w:t>
      </w:r>
      <w:r w:rsidRPr="00121206">
        <w:t xml:space="preserve"> </w:t>
      </w:r>
      <w:r>
        <w:t>The evaluation team</w:t>
      </w:r>
      <w:r w:rsidRPr="00121206">
        <w:t xml:space="preserve"> </w:t>
      </w:r>
      <w:r w:rsidR="00322710">
        <w:t xml:space="preserve">also </w:t>
      </w:r>
      <w:r w:rsidRPr="00121206">
        <w:t xml:space="preserve">developed a </w:t>
      </w:r>
      <w:r w:rsidR="00A6515D">
        <w:t xml:space="preserve">baseline assessment of oral health capacity that was administered electronically to all members of the LOHP coalition. The baseline assessment </w:t>
      </w:r>
      <w:r>
        <w:t xml:space="preserve">measures </w:t>
      </w:r>
      <w:r w:rsidR="00A6515D">
        <w:t xml:space="preserve">respondents’ perceptions regarding the </w:t>
      </w:r>
      <w:r>
        <w:t>capacity of the Kings County oral health services system to provide oral health prevention services in key strategy areas</w:t>
      </w:r>
      <w:r w:rsidR="00322710">
        <w:t>. The form also asks respondents to</w:t>
      </w:r>
      <w:r>
        <w:t xml:space="preserve"> </w:t>
      </w:r>
      <w:r w:rsidR="00A6515D">
        <w:t>identif</w:t>
      </w:r>
      <w:r w:rsidR="00322710">
        <w:t>y</w:t>
      </w:r>
      <w:r w:rsidR="00A6515D">
        <w:t xml:space="preserve"> </w:t>
      </w:r>
      <w:r>
        <w:t xml:space="preserve">barriers </w:t>
      </w:r>
      <w:r w:rsidR="00A6515D">
        <w:t>that may prevent</w:t>
      </w:r>
      <w:r>
        <w:t xml:space="preserve"> Kings County residents from accessing </w:t>
      </w:r>
      <w:r w:rsidR="00A6515D">
        <w:t xml:space="preserve">needed </w:t>
      </w:r>
      <w:r>
        <w:t>services</w:t>
      </w:r>
      <w:r w:rsidR="00322710">
        <w:t xml:space="preserve"> and </w:t>
      </w:r>
      <w:r w:rsidR="00B46CE5">
        <w:t>measures the level of collaboration among partner organizations.</w:t>
      </w:r>
      <w:r w:rsidR="00A6515D">
        <w:t xml:space="preserve"> The survey will be repeated on an annual basis to measure changes in coalition member perceptions over time.</w:t>
      </w:r>
    </w:p>
    <w:p w:rsidR="00AA6FBE" w:rsidRPr="00121206" w:rsidRDefault="00AA6FBE" w:rsidP="00AA6FBE">
      <w:pPr>
        <w:pStyle w:val="Text"/>
      </w:pPr>
      <w:r w:rsidRPr="004712C1">
        <w:rPr>
          <w:b/>
          <w:bCs/>
        </w:rPr>
        <w:t>Event and participation tracking.</w:t>
      </w:r>
      <w:r>
        <w:t xml:space="preserve"> The evaluation team will create a series of web-based tracking forms to record information about prevention service activities and numbers of participants</w:t>
      </w:r>
      <w:r w:rsidR="0045699D">
        <w:t xml:space="preserve"> receiving services</w:t>
      </w:r>
      <w:r>
        <w:t xml:space="preserve">. Events will include provider trainings, </w:t>
      </w:r>
      <w:r w:rsidR="0045699D">
        <w:t xml:space="preserve">toothbrushing, </w:t>
      </w:r>
      <w:r>
        <w:t xml:space="preserve">fluoride varnish </w:t>
      </w:r>
      <w:r w:rsidR="0045699D">
        <w:t>and dental sealant programs</w:t>
      </w:r>
      <w:r>
        <w:t xml:space="preserve"> in school and community settings, oral health screenings, and parent education sessions. Forms will be completed by the LOHP Program Director and/or service partners</w:t>
      </w:r>
      <w:r w:rsidR="0045699D">
        <w:t xml:space="preserve"> and will be analyzed by the evaluation team</w:t>
      </w:r>
      <w:r>
        <w:t xml:space="preserve">. </w:t>
      </w:r>
    </w:p>
    <w:p w:rsidR="00AA6FBE" w:rsidRDefault="00AA6FBE" w:rsidP="00AA6FBE">
      <w:pPr>
        <w:pStyle w:val="Text"/>
      </w:pPr>
      <w:r>
        <w:rPr>
          <w:b/>
          <w:bCs/>
        </w:rPr>
        <w:t xml:space="preserve">Kings County Local Oral Health Program (LOHP) </w:t>
      </w:r>
      <w:r w:rsidRPr="00B64F19">
        <w:rPr>
          <w:b/>
          <w:bCs/>
        </w:rPr>
        <w:t xml:space="preserve">Oral </w:t>
      </w:r>
      <w:r>
        <w:rPr>
          <w:b/>
          <w:bCs/>
        </w:rPr>
        <w:t>H</w:t>
      </w:r>
      <w:r w:rsidRPr="00B64F19">
        <w:rPr>
          <w:b/>
          <w:bCs/>
        </w:rPr>
        <w:t xml:space="preserve">ealth </w:t>
      </w:r>
      <w:r>
        <w:rPr>
          <w:b/>
          <w:bCs/>
        </w:rPr>
        <w:t>S</w:t>
      </w:r>
      <w:r w:rsidRPr="00B64F19">
        <w:rPr>
          <w:b/>
          <w:bCs/>
        </w:rPr>
        <w:t xml:space="preserve">creening </w:t>
      </w:r>
      <w:r>
        <w:rPr>
          <w:b/>
          <w:bCs/>
        </w:rPr>
        <w:t>F</w:t>
      </w:r>
      <w:r w:rsidRPr="00B64F19">
        <w:rPr>
          <w:b/>
          <w:bCs/>
        </w:rPr>
        <w:t>orms.</w:t>
      </w:r>
      <w:r>
        <w:t xml:space="preserve"> The evaluation team produced a scannable oral health screening form that can be completed by school nurses or dental hygienists at oral health screening events in schools. The screening form documents demographic information about the child, and records screening results, including </w:t>
      </w:r>
      <w:r w:rsidR="00FF5392">
        <w:t>the presence</w:t>
      </w:r>
      <w:r>
        <w:t xml:space="preserve"> of untreated decay, treated decay, </w:t>
      </w:r>
      <w:r w:rsidR="00FF5392">
        <w:t xml:space="preserve">and </w:t>
      </w:r>
      <w:r>
        <w:t xml:space="preserve">sealants on permanent molars, </w:t>
      </w:r>
      <w:r w:rsidR="00FF5392">
        <w:t>ratings of</w:t>
      </w:r>
      <w:r>
        <w:t xml:space="preserve"> treatment urgency, and</w:t>
      </w:r>
      <w:r w:rsidR="00FF5392">
        <w:t xml:space="preserve"> an </w:t>
      </w:r>
      <w:r>
        <w:t xml:space="preserve"> indicator of whether the child was referred to treatment. Forms will be copied, scanned, and transmitted to the evaluation contractor for scanning, data cleaning, and analysis. The screening form will be completed by a licensed dental professional and meets AB 1433 requirements for the California Kindergarten Oral Health Assessment.</w:t>
      </w:r>
    </w:p>
    <w:p w:rsidR="00AA6FBE" w:rsidRPr="00121206" w:rsidRDefault="00AA6FBE" w:rsidP="00AA6FBE">
      <w:pPr>
        <w:pStyle w:val="Text"/>
      </w:pPr>
      <w:r w:rsidRPr="007D7035">
        <w:rPr>
          <w:b/>
          <w:bCs/>
        </w:rPr>
        <w:t>Medi-Cal Dental Utilization Report.</w:t>
      </w:r>
      <w:r w:rsidRPr="00D7046B">
        <w:rPr>
          <w:b/>
          <w:bCs/>
        </w:rPr>
        <w:t xml:space="preserve"> </w:t>
      </w:r>
      <w:r w:rsidRPr="007D7035">
        <w:t>The evaluation team will download Dental Utilization Measures and Sealant Data by County and Age</w:t>
      </w:r>
      <w:r w:rsidR="00465F6F">
        <w:t>,</w:t>
      </w:r>
      <w:r w:rsidRPr="007D7035">
        <w:t xml:space="preserve"> Calendar Year 2013 to 2017 on an annual basis from the California Open Data Portal Website. </w:t>
      </w:r>
      <w:hyperlink r:id="rId19" w:history="1">
        <w:r>
          <w:rPr>
            <w:rStyle w:val="Hyperlink"/>
          </w:rPr>
          <w:t>https://data.ca.gov/dataset/dental-utilization-measures-and-sealant-data-county-and-age-calendar-year-2013-2017</w:t>
        </w:r>
      </w:hyperlink>
      <w:r w:rsidR="00465F6F">
        <w:rPr>
          <w:rStyle w:val="Hyperlink"/>
        </w:rPr>
        <w:t xml:space="preserve">. </w:t>
      </w:r>
      <w:r w:rsidR="00465F6F" w:rsidRPr="00465F6F">
        <w:t xml:space="preserve">This information will be used to measure access to dental treatment among child populations at risk for health disparities. </w:t>
      </w:r>
    </w:p>
    <w:p w:rsidR="00EB5DD2" w:rsidRDefault="00EB5DD2" w:rsidP="00EB5DD2"/>
    <w:p w:rsidR="00EB5DD2" w:rsidRDefault="00EB5DD2" w:rsidP="0076542A">
      <w:pPr>
        <w:pStyle w:val="Heading2"/>
      </w:pPr>
      <w:r>
        <w:t>Evaluation Plan Grid</w:t>
      </w:r>
    </w:p>
    <w:p w:rsidR="00EB5DD2" w:rsidRPr="00FE1BB7" w:rsidRDefault="00EB5DD2" w:rsidP="00EB5DD2">
      <w:pPr>
        <w:rPr>
          <w:rFonts w:ascii="Arial" w:hAnsi="Arial" w:cs="Arial"/>
          <w:sz w:val="24"/>
          <w:szCs w:val="24"/>
        </w:rPr>
      </w:pPr>
      <w:r w:rsidRPr="00FE1BB7">
        <w:rPr>
          <w:rFonts w:ascii="Arial" w:hAnsi="Arial" w:cs="Arial"/>
          <w:sz w:val="24"/>
          <w:szCs w:val="24"/>
        </w:rPr>
        <w:t xml:space="preserve">The evaluation plan grid shown in exhibit 5 </w:t>
      </w:r>
      <w:r>
        <w:rPr>
          <w:rFonts w:ascii="Arial" w:hAnsi="Arial" w:cs="Arial"/>
          <w:sz w:val="24"/>
          <w:szCs w:val="24"/>
        </w:rPr>
        <w:t xml:space="preserve">on the following page </w:t>
      </w:r>
      <w:r w:rsidRPr="00FE1BB7">
        <w:rPr>
          <w:rFonts w:ascii="Arial" w:hAnsi="Arial" w:cs="Arial"/>
          <w:sz w:val="24"/>
          <w:szCs w:val="24"/>
        </w:rPr>
        <w:t>lists each evaluation question with its corresponding</w:t>
      </w:r>
      <w:r w:rsidR="00F41FC3">
        <w:rPr>
          <w:rFonts w:ascii="Arial" w:hAnsi="Arial" w:cs="Arial"/>
          <w:sz w:val="24"/>
          <w:szCs w:val="24"/>
        </w:rPr>
        <w:t xml:space="preserve"> work plan objectives, </w:t>
      </w:r>
      <w:r w:rsidR="00593119">
        <w:rPr>
          <w:rFonts w:ascii="Arial" w:hAnsi="Arial" w:cs="Arial"/>
          <w:sz w:val="24"/>
          <w:szCs w:val="24"/>
        </w:rPr>
        <w:t>set of</w:t>
      </w:r>
      <w:r w:rsidRPr="00FE1BB7">
        <w:rPr>
          <w:rFonts w:ascii="Arial" w:hAnsi="Arial" w:cs="Arial"/>
          <w:sz w:val="24"/>
          <w:szCs w:val="24"/>
        </w:rPr>
        <w:t xml:space="preserve"> indicators and performance </w:t>
      </w:r>
      <w:r w:rsidRPr="002B333B">
        <w:rPr>
          <w:rFonts w:ascii="Arial" w:hAnsi="Arial" w:cs="Arial"/>
          <w:sz w:val="24"/>
          <w:szCs w:val="24"/>
          <w:highlight w:val="yellow"/>
          <w:rPrChange w:id="42" w:author="Silva, Heather" w:date="2020-01-13T15:18:00Z">
            <w:rPr>
              <w:rFonts w:ascii="Arial" w:hAnsi="Arial" w:cs="Arial"/>
              <w:sz w:val="24"/>
              <w:szCs w:val="24"/>
            </w:rPr>
          </w:rPrChange>
        </w:rPr>
        <w:t>measures</w:t>
      </w:r>
      <w:r w:rsidR="00F41FC3" w:rsidRPr="002B333B">
        <w:rPr>
          <w:rFonts w:ascii="Arial" w:hAnsi="Arial" w:cs="Arial"/>
          <w:sz w:val="24"/>
          <w:szCs w:val="24"/>
          <w:highlight w:val="yellow"/>
          <w:rPrChange w:id="43" w:author="Silva, Heather" w:date="2020-01-13T15:18:00Z">
            <w:rPr>
              <w:rFonts w:ascii="Arial" w:hAnsi="Arial" w:cs="Arial"/>
              <w:sz w:val="24"/>
              <w:szCs w:val="24"/>
            </w:rPr>
          </w:rPrChange>
        </w:rPr>
        <w:t xml:space="preserve"> from exhibit 4</w:t>
      </w:r>
      <w:r w:rsidR="00593119">
        <w:rPr>
          <w:rFonts w:ascii="Arial" w:hAnsi="Arial" w:cs="Arial"/>
          <w:sz w:val="24"/>
          <w:szCs w:val="24"/>
        </w:rPr>
        <w:t xml:space="preserve">, and respective </w:t>
      </w:r>
      <w:r w:rsidRPr="00FE1BB7">
        <w:rPr>
          <w:rFonts w:ascii="Arial" w:hAnsi="Arial" w:cs="Arial"/>
          <w:sz w:val="24"/>
          <w:szCs w:val="24"/>
        </w:rPr>
        <w:t>data sources</w:t>
      </w:r>
      <w:r w:rsidR="00593119">
        <w:rPr>
          <w:rFonts w:ascii="Arial" w:hAnsi="Arial" w:cs="Arial"/>
          <w:sz w:val="24"/>
          <w:szCs w:val="24"/>
        </w:rPr>
        <w:t>. The grid indicates</w:t>
      </w:r>
      <w:r w:rsidRPr="00FE1BB7">
        <w:rPr>
          <w:rFonts w:ascii="Arial" w:hAnsi="Arial" w:cs="Arial"/>
          <w:sz w:val="24"/>
          <w:szCs w:val="24"/>
        </w:rPr>
        <w:t xml:space="preserve"> </w:t>
      </w:r>
      <w:r w:rsidR="00593119">
        <w:rPr>
          <w:rFonts w:ascii="Arial" w:hAnsi="Arial" w:cs="Arial"/>
          <w:sz w:val="24"/>
          <w:szCs w:val="24"/>
        </w:rPr>
        <w:t xml:space="preserve">the </w:t>
      </w:r>
      <w:r w:rsidRPr="00FE1BB7">
        <w:rPr>
          <w:rFonts w:ascii="Arial" w:hAnsi="Arial" w:cs="Arial"/>
          <w:sz w:val="24"/>
          <w:szCs w:val="24"/>
        </w:rPr>
        <w:t xml:space="preserve">frequency of data collection, </w:t>
      </w:r>
      <w:r w:rsidR="00593119">
        <w:rPr>
          <w:rFonts w:ascii="Arial" w:hAnsi="Arial" w:cs="Arial"/>
          <w:sz w:val="24"/>
          <w:szCs w:val="24"/>
        </w:rPr>
        <w:t xml:space="preserve">the </w:t>
      </w:r>
      <w:r w:rsidRPr="00FE1BB7">
        <w:rPr>
          <w:rFonts w:ascii="Arial" w:hAnsi="Arial" w:cs="Arial"/>
          <w:sz w:val="24"/>
          <w:szCs w:val="24"/>
        </w:rPr>
        <w:t xml:space="preserve">evaluation method, </w:t>
      </w:r>
      <w:r w:rsidR="00593119">
        <w:rPr>
          <w:rFonts w:ascii="Arial" w:hAnsi="Arial" w:cs="Arial"/>
          <w:sz w:val="24"/>
          <w:szCs w:val="24"/>
        </w:rPr>
        <w:t xml:space="preserve">the </w:t>
      </w:r>
      <w:r w:rsidRPr="00FE1BB7">
        <w:rPr>
          <w:rFonts w:ascii="Arial" w:hAnsi="Arial" w:cs="Arial"/>
          <w:sz w:val="24"/>
          <w:szCs w:val="24"/>
        </w:rPr>
        <w:t xml:space="preserve">staff responsible for data collection, </w:t>
      </w:r>
      <w:r w:rsidR="00593119">
        <w:rPr>
          <w:rFonts w:ascii="Arial" w:hAnsi="Arial" w:cs="Arial"/>
          <w:sz w:val="24"/>
          <w:szCs w:val="24"/>
        </w:rPr>
        <w:t xml:space="preserve">the </w:t>
      </w:r>
      <w:r w:rsidRPr="00FE1BB7">
        <w:rPr>
          <w:rFonts w:ascii="Arial" w:hAnsi="Arial" w:cs="Arial"/>
          <w:sz w:val="24"/>
          <w:szCs w:val="24"/>
        </w:rPr>
        <w:t xml:space="preserve">analysis method and standard of comparison, and staff responsible for data analysis. </w:t>
      </w:r>
    </w:p>
    <w:bookmarkEnd w:id="41"/>
    <w:p w:rsidR="00954A09" w:rsidRDefault="00954A09">
      <w:pPr>
        <w:rPr>
          <w:rFonts w:ascii="Arial Nova" w:hAnsi="Arial Nova"/>
        </w:rPr>
      </w:pPr>
    </w:p>
    <w:p w:rsidR="00850B37" w:rsidRDefault="00850B37">
      <w:pPr>
        <w:rPr>
          <w:rFonts w:ascii="Arial Nova" w:hAnsi="Arial Nova"/>
        </w:rPr>
      </w:pPr>
    </w:p>
    <w:p w:rsidR="00850B37" w:rsidRDefault="00850B37">
      <w:pPr>
        <w:rPr>
          <w:rFonts w:ascii="Arial Nova" w:hAnsi="Arial Nova"/>
        </w:rPr>
      </w:pPr>
    </w:p>
    <w:p w:rsidR="002545E6" w:rsidRDefault="002545E6">
      <w:pPr>
        <w:rPr>
          <w:rFonts w:ascii="Arial Nova" w:hAnsi="Arial Nova"/>
        </w:rPr>
      </w:pPr>
    </w:p>
    <w:p w:rsidR="002545E6" w:rsidRDefault="002545E6">
      <w:pPr>
        <w:rPr>
          <w:rFonts w:ascii="Arial Nova" w:hAnsi="Arial Nova"/>
        </w:rPr>
      </w:pPr>
    </w:p>
    <w:p w:rsidR="002545E6" w:rsidRDefault="002545E6">
      <w:pPr>
        <w:rPr>
          <w:rFonts w:ascii="Arial Nova" w:hAnsi="Arial Nova"/>
        </w:rPr>
      </w:pPr>
    </w:p>
    <w:p w:rsidR="002545E6" w:rsidRDefault="002545E6">
      <w:pPr>
        <w:rPr>
          <w:rFonts w:ascii="Arial Nova" w:hAnsi="Arial Nova"/>
        </w:rPr>
      </w:pPr>
    </w:p>
    <w:p w:rsidR="002545E6" w:rsidRDefault="002545E6">
      <w:pPr>
        <w:rPr>
          <w:rFonts w:ascii="Arial Nova" w:hAnsi="Arial Nova"/>
        </w:rPr>
      </w:pPr>
    </w:p>
    <w:p w:rsidR="002545E6" w:rsidRDefault="002545E6">
      <w:pPr>
        <w:rPr>
          <w:rFonts w:ascii="Arial Nova" w:hAnsi="Arial Nova"/>
        </w:rPr>
      </w:pPr>
    </w:p>
    <w:p w:rsidR="00F47009" w:rsidRDefault="00F47009" w:rsidP="00F47009">
      <w:pPr>
        <w:spacing w:after="0"/>
        <w:outlineLvl w:val="0"/>
        <w:rPr>
          <w:rFonts w:ascii="Arial Nova" w:hAnsi="Arial Nova"/>
          <w:b/>
          <w:sz w:val="26"/>
          <w:szCs w:val="26"/>
        </w:rPr>
        <w:sectPr w:rsidR="00F47009" w:rsidSect="00662B7E">
          <w:pgSz w:w="12240" w:h="15840"/>
          <w:pgMar w:top="994" w:right="1440" w:bottom="576" w:left="1080" w:header="720" w:footer="720" w:gutter="0"/>
          <w:pgNumType w:start="14"/>
          <w:cols w:space="720"/>
          <w:docGrid w:linePitch="360"/>
        </w:sectPr>
      </w:pPr>
    </w:p>
    <w:p w:rsidR="00F47009" w:rsidRPr="00FC766F" w:rsidRDefault="00FC766F" w:rsidP="0008169B">
      <w:pPr>
        <w:spacing w:after="60"/>
        <w:ind w:left="-270" w:firstLine="990"/>
        <w:outlineLvl w:val="0"/>
        <w:rPr>
          <w:rFonts w:ascii="Arial Nova" w:hAnsi="Arial Nova"/>
          <w:b/>
          <w:sz w:val="24"/>
          <w:szCs w:val="24"/>
        </w:rPr>
      </w:pPr>
      <w:bookmarkStart w:id="44" w:name="_Toc11741319"/>
      <w:bookmarkStart w:id="45" w:name="_Toc11741547"/>
      <w:r w:rsidRPr="00FC766F">
        <w:rPr>
          <w:rFonts w:ascii="Arial Nova" w:hAnsi="Arial Nova"/>
          <w:b/>
          <w:sz w:val="24"/>
          <w:szCs w:val="24"/>
        </w:rPr>
        <w:t xml:space="preserve">Exhibit 5   </w:t>
      </w:r>
      <w:r w:rsidR="0070395A" w:rsidRPr="00FC766F">
        <w:rPr>
          <w:rFonts w:ascii="Arial Nova" w:hAnsi="Arial Nova"/>
          <w:bCs/>
          <w:sz w:val="24"/>
          <w:szCs w:val="24"/>
        </w:rPr>
        <w:t xml:space="preserve">Kings County Local Oral Health Program Evaluation </w:t>
      </w:r>
      <w:r w:rsidR="00FE1BB7">
        <w:rPr>
          <w:rFonts w:ascii="Arial Nova" w:hAnsi="Arial Nova"/>
          <w:bCs/>
          <w:sz w:val="24"/>
          <w:szCs w:val="24"/>
        </w:rPr>
        <w:t>Plan Grid</w:t>
      </w:r>
      <w:r w:rsidR="00F47009" w:rsidRPr="00FC766F">
        <w:rPr>
          <w:rFonts w:ascii="Arial Nova" w:hAnsi="Arial Nova"/>
          <w:bCs/>
          <w:sz w:val="24"/>
          <w:szCs w:val="24"/>
        </w:rPr>
        <w:t xml:space="preserve"> (2019 – 2022)</w:t>
      </w:r>
      <w:bookmarkEnd w:id="44"/>
      <w:bookmarkEnd w:id="45"/>
    </w:p>
    <w:tbl>
      <w:tblPr>
        <w:tblStyle w:val="TableGrid"/>
        <w:tblW w:w="14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523"/>
        <w:gridCol w:w="3185"/>
        <w:gridCol w:w="2185"/>
        <w:gridCol w:w="1343"/>
        <w:gridCol w:w="1617"/>
        <w:gridCol w:w="1738"/>
        <w:gridCol w:w="1539"/>
      </w:tblGrid>
      <w:tr w:rsidR="00723626" w:rsidTr="002545E6">
        <w:trPr>
          <w:tblHeader/>
          <w:jc w:val="center"/>
        </w:trPr>
        <w:tc>
          <w:tcPr>
            <w:tcW w:w="2541" w:type="dxa"/>
            <w:vAlign w:val="center"/>
          </w:tcPr>
          <w:p w:rsidR="00723626" w:rsidRPr="00F818FD" w:rsidRDefault="00723626" w:rsidP="00D70F56">
            <w:pPr>
              <w:jc w:val="center"/>
              <w:rPr>
                <w:rFonts w:ascii="Arial Nova" w:hAnsi="Arial Nova"/>
                <w:b/>
              </w:rPr>
            </w:pPr>
            <w:r w:rsidRPr="00F818FD">
              <w:rPr>
                <w:rFonts w:ascii="Arial Nova" w:hAnsi="Arial Nova"/>
                <w:b/>
              </w:rPr>
              <w:t xml:space="preserve">Evaluation </w:t>
            </w:r>
            <w:r w:rsidR="00D70F56" w:rsidRPr="00F818FD">
              <w:rPr>
                <w:rFonts w:ascii="Arial Nova" w:hAnsi="Arial Nova"/>
                <w:b/>
              </w:rPr>
              <w:t>Q</w:t>
            </w:r>
            <w:r w:rsidRPr="00F818FD">
              <w:rPr>
                <w:rFonts w:ascii="Arial Nova" w:hAnsi="Arial Nova"/>
                <w:b/>
              </w:rPr>
              <w:t>uestion</w:t>
            </w:r>
          </w:p>
        </w:tc>
        <w:tc>
          <w:tcPr>
            <w:tcW w:w="3209" w:type="dxa"/>
            <w:vAlign w:val="center"/>
          </w:tcPr>
          <w:p w:rsidR="00723626" w:rsidRPr="00F818FD" w:rsidRDefault="00D70F56" w:rsidP="00D70F56">
            <w:pPr>
              <w:jc w:val="center"/>
              <w:rPr>
                <w:rFonts w:ascii="Arial Nova" w:hAnsi="Arial Nova"/>
                <w:b/>
              </w:rPr>
            </w:pPr>
            <w:r w:rsidRPr="00F818FD">
              <w:rPr>
                <w:rFonts w:ascii="Arial Nova" w:hAnsi="Arial Nova"/>
                <w:b/>
              </w:rPr>
              <w:t>Indicator or Performance Measure</w:t>
            </w:r>
          </w:p>
        </w:tc>
        <w:tc>
          <w:tcPr>
            <w:tcW w:w="2198" w:type="dxa"/>
            <w:vAlign w:val="center"/>
          </w:tcPr>
          <w:p w:rsidR="00723626" w:rsidRPr="00F818FD" w:rsidRDefault="00D70F56" w:rsidP="00D70F56">
            <w:pPr>
              <w:jc w:val="center"/>
              <w:rPr>
                <w:rFonts w:ascii="Arial Nova" w:hAnsi="Arial Nova"/>
                <w:b/>
              </w:rPr>
            </w:pPr>
            <w:r w:rsidRPr="00F818FD">
              <w:rPr>
                <w:rFonts w:ascii="Arial Nova" w:hAnsi="Arial Nova"/>
                <w:b/>
              </w:rPr>
              <w:t>Data Source and Frequency of Collection</w:t>
            </w:r>
          </w:p>
        </w:tc>
        <w:tc>
          <w:tcPr>
            <w:tcW w:w="1317" w:type="dxa"/>
            <w:vAlign w:val="center"/>
          </w:tcPr>
          <w:p w:rsidR="00723626" w:rsidRPr="00F818FD" w:rsidRDefault="00D70F56" w:rsidP="00D70F56">
            <w:pPr>
              <w:jc w:val="center"/>
              <w:rPr>
                <w:rFonts w:ascii="Arial Nova" w:hAnsi="Arial Nova"/>
                <w:b/>
              </w:rPr>
            </w:pPr>
            <w:r w:rsidRPr="00F818FD">
              <w:rPr>
                <w:rFonts w:ascii="Arial Nova" w:hAnsi="Arial Nova"/>
                <w:b/>
              </w:rPr>
              <w:t>Evaluation Method</w:t>
            </w:r>
          </w:p>
        </w:tc>
        <w:tc>
          <w:tcPr>
            <w:tcW w:w="1618" w:type="dxa"/>
            <w:vAlign w:val="center"/>
          </w:tcPr>
          <w:p w:rsidR="00723626" w:rsidRPr="00F818FD" w:rsidRDefault="00D70F56" w:rsidP="00D70F56">
            <w:pPr>
              <w:jc w:val="center"/>
              <w:rPr>
                <w:rFonts w:ascii="Arial Nova" w:hAnsi="Arial Nova"/>
                <w:b/>
              </w:rPr>
            </w:pPr>
            <w:r w:rsidRPr="00F818FD">
              <w:rPr>
                <w:rFonts w:ascii="Arial Nova" w:hAnsi="Arial Nova"/>
                <w:b/>
              </w:rPr>
              <w:t>Staff Responsible for Data Collection</w:t>
            </w:r>
          </w:p>
        </w:tc>
        <w:tc>
          <w:tcPr>
            <w:tcW w:w="1741" w:type="dxa"/>
            <w:vAlign w:val="center"/>
          </w:tcPr>
          <w:p w:rsidR="00723626" w:rsidRPr="00F818FD" w:rsidRDefault="00D70F56" w:rsidP="00D70F56">
            <w:pPr>
              <w:jc w:val="center"/>
              <w:rPr>
                <w:rFonts w:ascii="Arial Nova" w:hAnsi="Arial Nova"/>
                <w:b/>
              </w:rPr>
            </w:pPr>
            <w:r w:rsidRPr="00F818FD">
              <w:rPr>
                <w:rFonts w:ascii="Arial Nova" w:hAnsi="Arial Nova"/>
                <w:b/>
              </w:rPr>
              <w:t>Analysis Method in Standard of Comparison</w:t>
            </w:r>
          </w:p>
        </w:tc>
        <w:tc>
          <w:tcPr>
            <w:tcW w:w="1506" w:type="dxa"/>
            <w:vAlign w:val="center"/>
          </w:tcPr>
          <w:p w:rsidR="00723626" w:rsidRPr="00F818FD" w:rsidRDefault="00D70F56" w:rsidP="00D70F56">
            <w:pPr>
              <w:jc w:val="center"/>
              <w:rPr>
                <w:rFonts w:ascii="Arial Nova" w:hAnsi="Arial Nova"/>
                <w:b/>
              </w:rPr>
            </w:pPr>
            <w:r w:rsidRPr="00F818FD">
              <w:rPr>
                <w:rFonts w:ascii="Arial Nova" w:hAnsi="Arial Nova"/>
                <w:b/>
              </w:rPr>
              <w:t>Sta</w:t>
            </w:r>
            <w:r w:rsidR="007C3AF2">
              <w:rPr>
                <w:rFonts w:ascii="Arial Nova" w:hAnsi="Arial Nova"/>
                <w:b/>
              </w:rPr>
              <w:t>ff</w:t>
            </w:r>
            <w:r w:rsidRPr="00F818FD">
              <w:rPr>
                <w:rFonts w:ascii="Arial Nova" w:hAnsi="Arial Nova"/>
                <w:b/>
              </w:rPr>
              <w:t xml:space="preserve"> Responsible for Data Analysis</w:t>
            </w:r>
          </w:p>
        </w:tc>
      </w:tr>
      <w:tr w:rsidR="00723626" w:rsidTr="002545E6">
        <w:trPr>
          <w:jc w:val="center"/>
        </w:trPr>
        <w:tc>
          <w:tcPr>
            <w:tcW w:w="2541" w:type="dxa"/>
          </w:tcPr>
          <w:p w:rsidR="00723626" w:rsidRDefault="00D84B50">
            <w:pPr>
              <w:rPr>
                <w:rFonts w:ascii="Arial Nova" w:hAnsi="Arial Nova"/>
                <w:b/>
                <w:bCs/>
                <w:sz w:val="16"/>
                <w:szCs w:val="16"/>
              </w:rPr>
            </w:pPr>
            <w:r w:rsidRPr="00CA19DA">
              <w:rPr>
                <w:rFonts w:ascii="Arial Nova" w:hAnsi="Arial Nova"/>
                <w:b/>
                <w:bCs/>
                <w:sz w:val="16"/>
                <w:szCs w:val="16"/>
              </w:rPr>
              <w:t>How successful was Kings County in building its internal capacity and establishing new collaborative infrastructure to promote oral disease prevention in high need communities?</w:t>
            </w:r>
          </w:p>
          <w:p w:rsidR="003E3044" w:rsidRPr="003E3044" w:rsidRDefault="003E3044">
            <w:pPr>
              <w:rPr>
                <w:rFonts w:ascii="Arial Nova" w:hAnsi="Arial Nova"/>
                <w:i/>
                <w:iCs/>
                <w:sz w:val="16"/>
                <w:szCs w:val="16"/>
              </w:rPr>
            </w:pPr>
            <w:r w:rsidRPr="002B333B">
              <w:rPr>
                <w:rFonts w:ascii="Arial Nova" w:hAnsi="Arial Nova"/>
                <w:i/>
                <w:iCs/>
                <w:sz w:val="16"/>
                <w:szCs w:val="16"/>
                <w:highlight w:val="yellow"/>
                <w:rPrChange w:id="46" w:author="Silva, Heather" w:date="2020-01-13T15:18:00Z">
                  <w:rPr>
                    <w:rFonts w:ascii="Arial Nova" w:hAnsi="Arial Nova"/>
                    <w:i/>
                    <w:iCs/>
                    <w:sz w:val="16"/>
                    <w:szCs w:val="16"/>
                  </w:rPr>
                </w:rPrChange>
              </w:rPr>
              <w:t>Objectives 8, 9, and 14</w:t>
            </w:r>
          </w:p>
        </w:tc>
        <w:tc>
          <w:tcPr>
            <w:tcW w:w="3209" w:type="dxa"/>
          </w:tcPr>
          <w:p w:rsidR="005C773B" w:rsidRPr="00E524DA" w:rsidRDefault="005C773B">
            <w:pPr>
              <w:rPr>
                <w:rFonts w:ascii="Arial Nova" w:hAnsi="Arial Nova"/>
                <w:sz w:val="18"/>
                <w:szCs w:val="18"/>
              </w:rPr>
            </w:pPr>
            <w:r w:rsidRPr="00E524DA">
              <w:rPr>
                <w:rFonts w:ascii="Arial Nova" w:hAnsi="Arial Nova"/>
                <w:sz w:val="18"/>
                <w:szCs w:val="18"/>
              </w:rPr>
              <w:t xml:space="preserve">Staff hired, MOUs established, </w:t>
            </w:r>
          </w:p>
          <w:p w:rsidR="005C773B" w:rsidRPr="00E524DA" w:rsidRDefault="005C773B">
            <w:pPr>
              <w:rPr>
                <w:rFonts w:ascii="Arial Nova" w:hAnsi="Arial Nova"/>
                <w:sz w:val="18"/>
                <w:szCs w:val="18"/>
              </w:rPr>
            </w:pPr>
          </w:p>
          <w:p w:rsidR="00723626" w:rsidRPr="00E524DA" w:rsidRDefault="005C773B">
            <w:pPr>
              <w:rPr>
                <w:rFonts w:ascii="Arial Nova" w:hAnsi="Arial Nova"/>
                <w:sz w:val="18"/>
                <w:szCs w:val="18"/>
              </w:rPr>
            </w:pPr>
            <w:r w:rsidRPr="00E524DA">
              <w:rPr>
                <w:rFonts w:ascii="Arial Nova" w:hAnsi="Arial Nova"/>
                <w:sz w:val="18"/>
                <w:szCs w:val="18"/>
              </w:rPr>
              <w:t>Coalition holds regularly schedule meetings with at least 80% of partners attending</w:t>
            </w:r>
          </w:p>
          <w:p w:rsidR="00F95D4A" w:rsidRPr="00E524DA" w:rsidRDefault="00705716" w:rsidP="005C773B">
            <w:pPr>
              <w:rPr>
                <w:rFonts w:ascii="Arial Nova" w:hAnsi="Arial Nova"/>
                <w:sz w:val="18"/>
                <w:szCs w:val="18"/>
              </w:rPr>
            </w:pPr>
            <w:r>
              <w:rPr>
                <w:rFonts w:ascii="Arial Nova" w:hAnsi="Arial Nova"/>
                <w:sz w:val="18"/>
                <w:szCs w:val="18"/>
              </w:rPr>
              <w:t>Coalition p</w:t>
            </w:r>
            <w:r w:rsidR="00137F8B">
              <w:rPr>
                <w:rFonts w:ascii="Arial Nova" w:hAnsi="Arial Nova"/>
                <w:sz w:val="18"/>
                <w:szCs w:val="18"/>
              </w:rPr>
              <w:t>artners ‘strongly agree’ that the LOHP  positively impacted access to preventive oral health services</w:t>
            </w:r>
          </w:p>
        </w:tc>
        <w:tc>
          <w:tcPr>
            <w:tcW w:w="2198" w:type="dxa"/>
          </w:tcPr>
          <w:p w:rsidR="00723626" w:rsidRPr="00E524DA" w:rsidRDefault="005C773B">
            <w:pPr>
              <w:rPr>
                <w:rFonts w:ascii="Arial Nova" w:hAnsi="Arial Nova"/>
                <w:sz w:val="18"/>
                <w:szCs w:val="18"/>
              </w:rPr>
            </w:pPr>
            <w:r w:rsidRPr="00E524DA">
              <w:rPr>
                <w:rFonts w:ascii="Arial Nova" w:hAnsi="Arial Nova"/>
                <w:sz w:val="18"/>
                <w:szCs w:val="18"/>
              </w:rPr>
              <w:t>Coalition meeting agendas and sign-in sheets</w:t>
            </w:r>
          </w:p>
          <w:p w:rsidR="005C773B" w:rsidRPr="00E524DA" w:rsidRDefault="005C773B" w:rsidP="005C773B">
            <w:pPr>
              <w:rPr>
                <w:rFonts w:ascii="Arial Nova" w:hAnsi="Arial Nova"/>
                <w:sz w:val="18"/>
                <w:szCs w:val="18"/>
              </w:rPr>
            </w:pPr>
            <w:r w:rsidRPr="00E524DA">
              <w:rPr>
                <w:rFonts w:ascii="Arial Nova" w:hAnsi="Arial Nova"/>
                <w:sz w:val="18"/>
                <w:szCs w:val="18"/>
              </w:rPr>
              <w:t>Coalition meeting feedback</w:t>
            </w:r>
          </w:p>
          <w:p w:rsidR="005C773B" w:rsidRPr="00E524DA" w:rsidRDefault="005C773B" w:rsidP="005C773B">
            <w:pPr>
              <w:rPr>
                <w:rFonts w:ascii="Arial Nova" w:hAnsi="Arial Nova"/>
                <w:sz w:val="18"/>
                <w:szCs w:val="18"/>
              </w:rPr>
            </w:pPr>
            <w:r w:rsidRPr="00E524DA">
              <w:rPr>
                <w:rFonts w:ascii="Arial Nova" w:hAnsi="Arial Nova"/>
                <w:sz w:val="18"/>
                <w:szCs w:val="18"/>
              </w:rPr>
              <w:t>Baseline assessment</w:t>
            </w:r>
          </w:p>
          <w:p w:rsidR="005C773B" w:rsidRPr="00E524DA" w:rsidRDefault="003474F0" w:rsidP="005C773B">
            <w:pPr>
              <w:rPr>
                <w:rFonts w:ascii="Arial Nova" w:hAnsi="Arial Nova"/>
                <w:sz w:val="18"/>
                <w:szCs w:val="18"/>
              </w:rPr>
            </w:pPr>
            <w:r>
              <w:rPr>
                <w:rFonts w:ascii="Arial Nova" w:hAnsi="Arial Nova"/>
                <w:sz w:val="18"/>
                <w:szCs w:val="18"/>
              </w:rPr>
              <w:t>(Annually)</w:t>
            </w:r>
          </w:p>
          <w:p w:rsidR="005C773B" w:rsidRPr="00E524DA" w:rsidRDefault="005C773B">
            <w:pPr>
              <w:rPr>
                <w:rFonts w:ascii="Arial Nova" w:hAnsi="Arial Nova"/>
                <w:sz w:val="18"/>
                <w:szCs w:val="18"/>
              </w:rPr>
            </w:pPr>
          </w:p>
        </w:tc>
        <w:tc>
          <w:tcPr>
            <w:tcW w:w="1317" w:type="dxa"/>
          </w:tcPr>
          <w:p w:rsidR="00723626" w:rsidRPr="00E524DA" w:rsidRDefault="00F95D4A">
            <w:pPr>
              <w:rPr>
                <w:rFonts w:ascii="Arial Nova" w:hAnsi="Arial Nova"/>
                <w:sz w:val="18"/>
                <w:szCs w:val="18"/>
              </w:rPr>
            </w:pPr>
            <w:r w:rsidRPr="00E524DA">
              <w:rPr>
                <w:rFonts w:ascii="Arial Nova" w:hAnsi="Arial Nova"/>
                <w:sz w:val="18"/>
                <w:szCs w:val="18"/>
              </w:rPr>
              <w:t>Process evaluation component</w:t>
            </w:r>
          </w:p>
        </w:tc>
        <w:tc>
          <w:tcPr>
            <w:tcW w:w="1618" w:type="dxa"/>
          </w:tcPr>
          <w:p w:rsidR="00723626" w:rsidRPr="00E524DA" w:rsidRDefault="00F95D4A">
            <w:pPr>
              <w:rPr>
                <w:rFonts w:ascii="Arial Nova" w:hAnsi="Arial Nova"/>
                <w:sz w:val="18"/>
                <w:szCs w:val="18"/>
              </w:rPr>
            </w:pPr>
            <w:r w:rsidRPr="00E524DA">
              <w:rPr>
                <w:rFonts w:ascii="Arial Nova" w:hAnsi="Arial Nova"/>
                <w:sz w:val="18"/>
                <w:szCs w:val="18"/>
              </w:rPr>
              <w:t>LOHP Project Director</w:t>
            </w:r>
          </w:p>
        </w:tc>
        <w:tc>
          <w:tcPr>
            <w:tcW w:w="1741" w:type="dxa"/>
          </w:tcPr>
          <w:p w:rsidR="00723626" w:rsidRPr="00E524DA" w:rsidRDefault="00B23192">
            <w:pPr>
              <w:rPr>
                <w:rFonts w:ascii="Arial Nova" w:hAnsi="Arial Nova"/>
                <w:sz w:val="18"/>
                <w:szCs w:val="18"/>
              </w:rPr>
            </w:pPr>
            <w:r w:rsidRPr="00E524DA">
              <w:rPr>
                <w:rFonts w:ascii="Arial Nova" w:hAnsi="Arial Nova"/>
                <w:sz w:val="18"/>
                <w:szCs w:val="18"/>
              </w:rPr>
              <w:t>Descriptive analys</w:t>
            </w:r>
            <w:r w:rsidR="00AB1947">
              <w:rPr>
                <w:rFonts w:ascii="Arial Nova" w:hAnsi="Arial Nova"/>
                <w:sz w:val="18"/>
                <w:szCs w:val="18"/>
              </w:rPr>
              <w:t>e</w:t>
            </w:r>
            <w:r w:rsidRPr="00E524DA">
              <w:rPr>
                <w:rFonts w:ascii="Arial Nova" w:hAnsi="Arial Nova"/>
                <w:sz w:val="18"/>
                <w:szCs w:val="18"/>
              </w:rPr>
              <w:t>s</w:t>
            </w:r>
            <w:r w:rsidR="00AB1947">
              <w:rPr>
                <w:rFonts w:ascii="Arial Nova" w:hAnsi="Arial Nova"/>
                <w:sz w:val="18"/>
                <w:szCs w:val="18"/>
              </w:rPr>
              <w:t xml:space="preserve">. </w:t>
            </w:r>
            <w:r w:rsidRPr="00E524DA">
              <w:rPr>
                <w:rFonts w:ascii="Arial Nova" w:hAnsi="Arial Nova"/>
                <w:sz w:val="18"/>
                <w:szCs w:val="18"/>
              </w:rPr>
              <w:t xml:space="preserve"> </w:t>
            </w:r>
            <w:r w:rsidR="00AB1947">
              <w:rPr>
                <w:rFonts w:ascii="Arial Nova" w:hAnsi="Arial Nova"/>
                <w:sz w:val="18"/>
                <w:szCs w:val="18"/>
              </w:rPr>
              <w:t>C</w:t>
            </w:r>
            <w:r w:rsidRPr="00E524DA">
              <w:rPr>
                <w:rFonts w:ascii="Arial Nova" w:hAnsi="Arial Nova"/>
                <w:sz w:val="18"/>
                <w:szCs w:val="18"/>
              </w:rPr>
              <w:t>omparison to established benchmarks</w:t>
            </w:r>
          </w:p>
        </w:tc>
        <w:tc>
          <w:tcPr>
            <w:tcW w:w="1506" w:type="dxa"/>
          </w:tcPr>
          <w:p w:rsidR="00723626" w:rsidRPr="00E524DA" w:rsidRDefault="007C3AF2" w:rsidP="005C773B">
            <w:pPr>
              <w:jc w:val="center"/>
              <w:rPr>
                <w:rFonts w:ascii="Arial Nova" w:hAnsi="Arial Nova"/>
                <w:sz w:val="18"/>
                <w:szCs w:val="18"/>
              </w:rPr>
            </w:pPr>
            <w:r w:rsidRPr="00E524DA">
              <w:rPr>
                <w:rFonts w:ascii="Arial Nova" w:hAnsi="Arial Nova"/>
                <w:sz w:val="18"/>
                <w:szCs w:val="18"/>
              </w:rPr>
              <w:t>EMT</w:t>
            </w:r>
            <w:r w:rsidR="00F47009" w:rsidRPr="00E524DA">
              <w:rPr>
                <w:rFonts w:ascii="Arial Nova" w:hAnsi="Arial Nova"/>
                <w:sz w:val="18"/>
                <w:szCs w:val="18"/>
              </w:rPr>
              <w:t xml:space="preserve"> Associates</w:t>
            </w:r>
          </w:p>
        </w:tc>
      </w:tr>
      <w:tr w:rsidR="00AB1947" w:rsidTr="005C012E">
        <w:trPr>
          <w:jc w:val="center"/>
        </w:trPr>
        <w:tc>
          <w:tcPr>
            <w:tcW w:w="2541" w:type="dxa"/>
          </w:tcPr>
          <w:p w:rsidR="00AB1947" w:rsidRDefault="00AB1947" w:rsidP="00AB1947">
            <w:pPr>
              <w:rPr>
                <w:rFonts w:ascii="Arial Nova" w:hAnsi="Arial Nova"/>
                <w:b/>
                <w:bCs/>
                <w:sz w:val="16"/>
                <w:szCs w:val="16"/>
              </w:rPr>
            </w:pPr>
            <w:r w:rsidRPr="00CA19DA">
              <w:rPr>
                <w:rFonts w:ascii="Arial Nova" w:hAnsi="Arial Nova"/>
                <w:b/>
                <w:bCs/>
                <w:sz w:val="16"/>
                <w:szCs w:val="16"/>
              </w:rPr>
              <w:t>Did increased systems-integration and service coordination among community partners result in expanded access to preventative oral health services for children and their families?</w:t>
            </w:r>
          </w:p>
          <w:p w:rsidR="003E3044" w:rsidRPr="003E3044" w:rsidRDefault="003E3044" w:rsidP="00AB1947">
            <w:pPr>
              <w:rPr>
                <w:rFonts w:ascii="Arial Nova" w:hAnsi="Arial Nova"/>
                <w:i/>
                <w:iCs/>
                <w:sz w:val="16"/>
                <w:szCs w:val="16"/>
              </w:rPr>
            </w:pPr>
            <w:r w:rsidRPr="002B333B">
              <w:rPr>
                <w:rFonts w:ascii="Arial Nova" w:hAnsi="Arial Nova"/>
                <w:i/>
                <w:iCs/>
                <w:sz w:val="16"/>
                <w:szCs w:val="16"/>
                <w:highlight w:val="yellow"/>
                <w:rPrChange w:id="47" w:author="Silva, Heather" w:date="2020-01-13T15:18:00Z">
                  <w:rPr>
                    <w:rFonts w:ascii="Arial Nova" w:hAnsi="Arial Nova"/>
                    <w:i/>
                    <w:iCs/>
                    <w:sz w:val="16"/>
                    <w:szCs w:val="16"/>
                  </w:rPr>
                </w:rPrChange>
              </w:rPr>
              <w:t>Objectives 1, 2, 3, 4, 6, and 10</w:t>
            </w:r>
          </w:p>
        </w:tc>
        <w:tc>
          <w:tcPr>
            <w:tcW w:w="3209" w:type="dxa"/>
            <w:vAlign w:val="center"/>
          </w:tcPr>
          <w:p w:rsidR="00705716" w:rsidRDefault="00960CFB" w:rsidP="00AB1947">
            <w:pPr>
              <w:rPr>
                <w:rFonts w:ascii="Arial Nova" w:hAnsi="Arial Nova" w:cstheme="minorHAnsi"/>
                <w:b/>
                <w:bCs/>
                <w:sz w:val="16"/>
                <w:szCs w:val="16"/>
              </w:rPr>
            </w:pPr>
            <w:r>
              <w:rPr>
                <w:rFonts w:ascii="Arial Nova" w:hAnsi="Arial Nova" w:cstheme="minorHAnsi"/>
                <w:b/>
                <w:bCs/>
                <w:sz w:val="16"/>
                <w:szCs w:val="16"/>
              </w:rPr>
              <w:t xml:space="preserve">Indicator #4. </w:t>
            </w:r>
            <w:r w:rsidR="00705716">
              <w:rPr>
                <w:rFonts w:ascii="Arial Nova" w:hAnsi="Arial Nova" w:cstheme="minorHAnsi"/>
                <w:sz w:val="16"/>
                <w:szCs w:val="16"/>
              </w:rPr>
              <w:t xml:space="preserve">Number of schools with a school-based or school-linked dental sealant program </w:t>
            </w:r>
          </w:p>
          <w:p w:rsidR="00705716" w:rsidRPr="00705716" w:rsidRDefault="00960CFB" w:rsidP="00AB1947">
            <w:pPr>
              <w:rPr>
                <w:rFonts w:ascii="Arial Nova" w:hAnsi="Arial Nova" w:cstheme="minorHAnsi"/>
                <w:sz w:val="16"/>
                <w:szCs w:val="16"/>
              </w:rPr>
            </w:pPr>
            <w:r w:rsidRPr="00960CFB">
              <w:rPr>
                <w:rFonts w:ascii="Arial Nova" w:hAnsi="Arial Nova" w:cstheme="minorHAnsi"/>
                <w:b/>
                <w:bCs/>
                <w:sz w:val="16"/>
                <w:szCs w:val="16"/>
              </w:rPr>
              <w:t>Indicator #6.</w:t>
            </w:r>
            <w:r>
              <w:rPr>
                <w:rFonts w:ascii="Arial Nova" w:hAnsi="Arial Nova" w:cstheme="minorHAnsi"/>
                <w:sz w:val="16"/>
                <w:szCs w:val="16"/>
              </w:rPr>
              <w:t xml:space="preserve"> </w:t>
            </w:r>
            <w:r w:rsidR="00705716" w:rsidRPr="00705716">
              <w:rPr>
                <w:rFonts w:ascii="Arial Nova" w:hAnsi="Arial Nova" w:cstheme="minorHAnsi"/>
                <w:sz w:val="16"/>
                <w:szCs w:val="16"/>
              </w:rPr>
              <w:t>Number of preschools CA State Preschool Sites with a daily toothbrushing program</w:t>
            </w:r>
            <w:r w:rsidR="00705716">
              <w:rPr>
                <w:rFonts w:ascii="Arial Nova" w:hAnsi="Arial Nova" w:cstheme="minorHAnsi"/>
                <w:sz w:val="16"/>
                <w:szCs w:val="16"/>
              </w:rPr>
              <w:t xml:space="preserve"> </w:t>
            </w:r>
          </w:p>
          <w:p w:rsidR="00AB1947" w:rsidRDefault="00960CFB" w:rsidP="00AB1947">
            <w:pPr>
              <w:rPr>
                <w:rFonts w:ascii="Arial Nova" w:hAnsi="Arial Nova" w:cstheme="minorHAnsi"/>
                <w:sz w:val="16"/>
                <w:szCs w:val="16"/>
              </w:rPr>
            </w:pPr>
            <w:r w:rsidRPr="00960CFB">
              <w:rPr>
                <w:rFonts w:ascii="Arial Nova" w:hAnsi="Arial Nova" w:cstheme="minorHAnsi"/>
                <w:b/>
                <w:bCs/>
                <w:sz w:val="16"/>
                <w:szCs w:val="16"/>
              </w:rPr>
              <w:t>Indicator #8.</w:t>
            </w:r>
            <w:r>
              <w:rPr>
                <w:rFonts w:ascii="Arial Nova" w:hAnsi="Arial Nova" w:cstheme="minorHAnsi"/>
                <w:sz w:val="16"/>
                <w:szCs w:val="16"/>
              </w:rPr>
              <w:t xml:space="preserve"> </w:t>
            </w:r>
            <w:r w:rsidR="00AB1947" w:rsidRPr="00705716">
              <w:rPr>
                <w:rFonts w:ascii="Arial Nova" w:hAnsi="Arial Nova" w:cstheme="minorHAnsi"/>
                <w:sz w:val="16"/>
                <w:szCs w:val="16"/>
              </w:rPr>
              <w:t>Number of children receiving a fluoride varnish through a Kings County Public Health Program</w:t>
            </w:r>
            <w:r w:rsidR="00705716">
              <w:rPr>
                <w:rFonts w:ascii="Arial Nova" w:hAnsi="Arial Nova" w:cstheme="minorHAnsi"/>
                <w:sz w:val="16"/>
                <w:szCs w:val="16"/>
              </w:rPr>
              <w:t xml:space="preserve"> </w:t>
            </w:r>
          </w:p>
          <w:p w:rsidR="00960CFB" w:rsidRPr="00705716" w:rsidRDefault="00960CFB" w:rsidP="00AB1947">
            <w:pPr>
              <w:rPr>
                <w:rFonts w:ascii="Arial Nova" w:hAnsi="Arial Nova" w:cstheme="minorHAnsi"/>
                <w:sz w:val="16"/>
                <w:szCs w:val="16"/>
              </w:rPr>
            </w:pPr>
          </w:p>
          <w:p w:rsidR="00AB1947" w:rsidRPr="00705716" w:rsidRDefault="00960CFB" w:rsidP="00AB1947">
            <w:pPr>
              <w:rPr>
                <w:rFonts w:ascii="Arial Nova" w:hAnsi="Arial Nova"/>
                <w:sz w:val="18"/>
                <w:szCs w:val="18"/>
              </w:rPr>
            </w:pPr>
            <w:r>
              <w:rPr>
                <w:rFonts w:ascii="Arial Nova" w:hAnsi="Arial Nova" w:cstheme="minorHAnsi"/>
                <w:b/>
                <w:bCs/>
                <w:sz w:val="16"/>
                <w:szCs w:val="16"/>
              </w:rPr>
              <w:t xml:space="preserve">Indicator #9. </w:t>
            </w:r>
            <w:r w:rsidR="00AB1947" w:rsidRPr="00705716">
              <w:rPr>
                <w:rFonts w:ascii="Arial Nova" w:hAnsi="Arial Nova" w:cstheme="minorHAnsi"/>
                <w:sz w:val="16"/>
                <w:szCs w:val="16"/>
              </w:rPr>
              <w:t>Number of children receiving 3 or more fluoride varnish applications per year through a Kings County Public Health Program</w:t>
            </w:r>
            <w:r w:rsidR="00705716">
              <w:rPr>
                <w:rFonts w:ascii="Arial Nova" w:hAnsi="Arial Nova" w:cstheme="minorHAnsi"/>
                <w:sz w:val="16"/>
                <w:szCs w:val="16"/>
              </w:rPr>
              <w:t xml:space="preserve"> </w:t>
            </w:r>
          </w:p>
        </w:tc>
        <w:tc>
          <w:tcPr>
            <w:tcW w:w="2198" w:type="dxa"/>
          </w:tcPr>
          <w:p w:rsidR="00AB1947" w:rsidRDefault="00AB1947" w:rsidP="00AB1947">
            <w:pPr>
              <w:rPr>
                <w:rFonts w:ascii="Arial Nova" w:hAnsi="Arial Nova"/>
                <w:sz w:val="18"/>
                <w:szCs w:val="18"/>
              </w:rPr>
            </w:pPr>
            <w:r w:rsidRPr="00E524DA">
              <w:rPr>
                <w:rFonts w:ascii="Arial Nova" w:hAnsi="Arial Nova"/>
                <w:sz w:val="18"/>
                <w:szCs w:val="18"/>
              </w:rPr>
              <w:t>LOHP Event and Participant Tracking Forms</w:t>
            </w:r>
          </w:p>
          <w:p w:rsidR="003474F0" w:rsidRPr="00E524DA" w:rsidRDefault="003474F0" w:rsidP="00AB1947">
            <w:pPr>
              <w:rPr>
                <w:rFonts w:ascii="Arial Nova" w:hAnsi="Arial Nova"/>
                <w:sz w:val="18"/>
                <w:szCs w:val="18"/>
              </w:rPr>
            </w:pPr>
            <w:r>
              <w:rPr>
                <w:rFonts w:ascii="Arial Nova" w:hAnsi="Arial Nova"/>
                <w:sz w:val="18"/>
                <w:szCs w:val="18"/>
              </w:rPr>
              <w:t>(Completion of the event)</w:t>
            </w:r>
          </w:p>
        </w:tc>
        <w:tc>
          <w:tcPr>
            <w:tcW w:w="1317" w:type="dxa"/>
          </w:tcPr>
          <w:p w:rsidR="00AB1947" w:rsidRPr="00E524DA" w:rsidRDefault="00AB1947" w:rsidP="00AB1947">
            <w:pPr>
              <w:rPr>
                <w:rFonts w:ascii="Arial Nova" w:hAnsi="Arial Nova"/>
                <w:sz w:val="18"/>
                <w:szCs w:val="18"/>
              </w:rPr>
            </w:pPr>
            <w:r w:rsidRPr="00E524DA">
              <w:rPr>
                <w:rFonts w:ascii="Arial Nova" w:hAnsi="Arial Nova"/>
                <w:sz w:val="18"/>
                <w:szCs w:val="18"/>
              </w:rPr>
              <w:t>Process evaluation component</w:t>
            </w:r>
          </w:p>
        </w:tc>
        <w:tc>
          <w:tcPr>
            <w:tcW w:w="1618" w:type="dxa"/>
          </w:tcPr>
          <w:p w:rsidR="00AB1947" w:rsidRPr="00E524DA" w:rsidRDefault="00AB1947" w:rsidP="00AB1947">
            <w:pPr>
              <w:rPr>
                <w:rFonts w:ascii="Arial Nova" w:hAnsi="Arial Nova"/>
                <w:sz w:val="18"/>
                <w:szCs w:val="18"/>
              </w:rPr>
            </w:pPr>
            <w:r w:rsidRPr="00E524DA">
              <w:rPr>
                <w:rFonts w:ascii="Arial Nova" w:hAnsi="Arial Nova"/>
                <w:sz w:val="18"/>
                <w:szCs w:val="18"/>
              </w:rPr>
              <w:t>LOHP Project Director</w:t>
            </w:r>
          </w:p>
        </w:tc>
        <w:tc>
          <w:tcPr>
            <w:tcW w:w="1741" w:type="dxa"/>
          </w:tcPr>
          <w:p w:rsidR="00AB1947" w:rsidRPr="00E524DA" w:rsidRDefault="00AB1947" w:rsidP="00AB1947">
            <w:pPr>
              <w:rPr>
                <w:rFonts w:ascii="Arial Nova" w:hAnsi="Arial Nova"/>
                <w:sz w:val="18"/>
                <w:szCs w:val="18"/>
              </w:rPr>
            </w:pPr>
            <w:r w:rsidRPr="00E27D1B">
              <w:rPr>
                <w:rFonts w:ascii="Arial Nova" w:hAnsi="Arial Nova"/>
                <w:sz w:val="18"/>
                <w:szCs w:val="18"/>
              </w:rPr>
              <w:t>Descriptive analyses.  Comparison to established benchmarks</w:t>
            </w:r>
          </w:p>
        </w:tc>
        <w:tc>
          <w:tcPr>
            <w:tcW w:w="1506" w:type="dxa"/>
          </w:tcPr>
          <w:p w:rsidR="00AB1947" w:rsidRPr="00E524DA" w:rsidRDefault="00AB1947" w:rsidP="00AB1947">
            <w:pPr>
              <w:jc w:val="center"/>
              <w:rPr>
                <w:rFonts w:ascii="Arial Nova" w:hAnsi="Arial Nova"/>
                <w:sz w:val="18"/>
                <w:szCs w:val="18"/>
              </w:rPr>
            </w:pPr>
            <w:r w:rsidRPr="00E524DA">
              <w:rPr>
                <w:rFonts w:ascii="Arial Nova" w:hAnsi="Arial Nova"/>
                <w:sz w:val="18"/>
                <w:szCs w:val="18"/>
              </w:rPr>
              <w:t>EMT Associates</w:t>
            </w:r>
          </w:p>
        </w:tc>
      </w:tr>
      <w:tr w:rsidR="00AB1947" w:rsidTr="005C012E">
        <w:trPr>
          <w:jc w:val="center"/>
        </w:trPr>
        <w:tc>
          <w:tcPr>
            <w:tcW w:w="2541" w:type="dxa"/>
          </w:tcPr>
          <w:p w:rsidR="003E3044" w:rsidRPr="003E3044" w:rsidRDefault="00AB1947" w:rsidP="00AB1947">
            <w:pPr>
              <w:rPr>
                <w:rFonts w:ascii="Arial Nova" w:hAnsi="Arial Nova"/>
                <w:b/>
                <w:bCs/>
                <w:sz w:val="16"/>
                <w:szCs w:val="16"/>
              </w:rPr>
            </w:pPr>
            <w:r w:rsidRPr="00CA19DA">
              <w:rPr>
                <w:rFonts w:ascii="Arial Nova" w:hAnsi="Arial Nova"/>
                <w:b/>
                <w:bCs/>
                <w:sz w:val="16"/>
                <w:szCs w:val="16"/>
              </w:rPr>
              <w:t>Did increased systems-integration and collaboration among community partners result in expanded access to oral health screening and linkages to dental treatment for preschool and school-age children?</w:t>
            </w:r>
            <w:r w:rsidR="003E3044">
              <w:rPr>
                <w:rFonts w:ascii="Arial Nova" w:hAnsi="Arial Nova"/>
                <w:b/>
                <w:bCs/>
                <w:sz w:val="16"/>
                <w:szCs w:val="16"/>
              </w:rPr>
              <w:t xml:space="preserve"> </w:t>
            </w:r>
            <w:r w:rsidR="003E3044" w:rsidRPr="002B333B">
              <w:rPr>
                <w:rFonts w:ascii="Arial Nova" w:hAnsi="Arial Nova"/>
                <w:i/>
                <w:iCs/>
                <w:sz w:val="16"/>
                <w:szCs w:val="16"/>
                <w:highlight w:val="yellow"/>
                <w:rPrChange w:id="48" w:author="Silva, Heather" w:date="2020-01-13T15:18:00Z">
                  <w:rPr>
                    <w:rFonts w:ascii="Arial Nova" w:hAnsi="Arial Nova"/>
                    <w:i/>
                    <w:iCs/>
                    <w:sz w:val="16"/>
                    <w:szCs w:val="16"/>
                  </w:rPr>
                </w:rPrChange>
              </w:rPr>
              <w:t>Objectives 7 and 11</w:t>
            </w:r>
          </w:p>
        </w:tc>
        <w:tc>
          <w:tcPr>
            <w:tcW w:w="3209" w:type="dxa"/>
            <w:vAlign w:val="center"/>
          </w:tcPr>
          <w:p w:rsidR="00AB1947" w:rsidRDefault="00960CFB" w:rsidP="00AB1947">
            <w:pPr>
              <w:rPr>
                <w:rFonts w:ascii="Arial Nova" w:hAnsi="Arial Nova" w:cstheme="minorHAnsi"/>
                <w:b/>
                <w:bCs/>
                <w:sz w:val="16"/>
                <w:szCs w:val="16"/>
              </w:rPr>
            </w:pPr>
            <w:r>
              <w:rPr>
                <w:rFonts w:ascii="Arial Nova" w:hAnsi="Arial Nova" w:cstheme="minorHAnsi"/>
                <w:b/>
                <w:bCs/>
                <w:sz w:val="16"/>
                <w:szCs w:val="16"/>
              </w:rPr>
              <w:t xml:space="preserve">Indicator #5. </w:t>
            </w:r>
            <w:r w:rsidR="00AB1947" w:rsidRPr="00705716">
              <w:rPr>
                <w:rFonts w:ascii="Arial Nova" w:hAnsi="Arial Nova" w:cstheme="minorHAnsi"/>
                <w:sz w:val="16"/>
                <w:szCs w:val="16"/>
              </w:rPr>
              <w:t>Number of schools with a school-based oral health screening, referral and case management program</w:t>
            </w:r>
            <w:r w:rsidR="00705716">
              <w:rPr>
                <w:rFonts w:ascii="Arial Nova" w:hAnsi="Arial Nova" w:cstheme="minorHAnsi"/>
                <w:sz w:val="16"/>
                <w:szCs w:val="16"/>
              </w:rPr>
              <w:t xml:space="preserve"> </w:t>
            </w:r>
          </w:p>
          <w:p w:rsidR="00705716" w:rsidRDefault="00705716" w:rsidP="00AB1947">
            <w:pPr>
              <w:rPr>
                <w:rFonts w:ascii="Arial Nova" w:hAnsi="Arial Nova" w:cstheme="minorHAnsi"/>
                <w:b/>
                <w:bCs/>
                <w:sz w:val="16"/>
                <w:szCs w:val="16"/>
              </w:rPr>
            </w:pPr>
          </w:p>
          <w:p w:rsidR="00705716" w:rsidRPr="00705716" w:rsidRDefault="00960CFB" w:rsidP="00AB1947">
            <w:pPr>
              <w:rPr>
                <w:rFonts w:ascii="Arial Nova" w:hAnsi="Arial Nova"/>
                <w:sz w:val="18"/>
                <w:szCs w:val="18"/>
              </w:rPr>
            </w:pPr>
            <w:r>
              <w:rPr>
                <w:rFonts w:ascii="Arial Nova" w:hAnsi="Arial Nova" w:cstheme="minorHAnsi"/>
                <w:b/>
                <w:bCs/>
                <w:sz w:val="16"/>
                <w:szCs w:val="16"/>
              </w:rPr>
              <w:t>Indicator #</w:t>
            </w:r>
            <w:r w:rsidR="00CE261A">
              <w:rPr>
                <w:rFonts w:ascii="Arial Nova" w:hAnsi="Arial Nova" w:cstheme="minorHAnsi"/>
                <w:b/>
                <w:bCs/>
                <w:sz w:val="16"/>
                <w:szCs w:val="16"/>
              </w:rPr>
              <w:t>7</w:t>
            </w:r>
            <w:r>
              <w:rPr>
                <w:rFonts w:ascii="Arial Nova" w:hAnsi="Arial Nova" w:cstheme="minorHAnsi"/>
                <w:b/>
                <w:bCs/>
                <w:sz w:val="16"/>
                <w:szCs w:val="16"/>
              </w:rPr>
              <w:t xml:space="preserve">. </w:t>
            </w:r>
            <w:r w:rsidR="00705716" w:rsidRPr="00960CFB">
              <w:rPr>
                <w:rFonts w:ascii="Arial Nova" w:hAnsi="Arial Nova" w:cstheme="minorHAnsi"/>
                <w:sz w:val="16"/>
                <w:szCs w:val="16"/>
              </w:rPr>
              <w:t xml:space="preserve">Percent of Medi-Cal children with a dental visit </w:t>
            </w:r>
          </w:p>
        </w:tc>
        <w:tc>
          <w:tcPr>
            <w:tcW w:w="2198" w:type="dxa"/>
          </w:tcPr>
          <w:p w:rsidR="00AB1947" w:rsidRDefault="00AB1947" w:rsidP="00AB1947">
            <w:pPr>
              <w:rPr>
                <w:rFonts w:ascii="Arial Nova" w:hAnsi="Arial Nova"/>
                <w:sz w:val="18"/>
                <w:szCs w:val="18"/>
              </w:rPr>
            </w:pPr>
            <w:r w:rsidRPr="00E524DA">
              <w:rPr>
                <w:rFonts w:ascii="Arial Nova" w:hAnsi="Arial Nova"/>
                <w:sz w:val="18"/>
                <w:szCs w:val="18"/>
              </w:rPr>
              <w:t>LOHP Event and Participant Tracking Forms</w:t>
            </w:r>
          </w:p>
          <w:p w:rsidR="003474F0" w:rsidRPr="00E524DA" w:rsidRDefault="003474F0" w:rsidP="00AB1947">
            <w:pPr>
              <w:rPr>
                <w:rFonts w:ascii="Arial Nova" w:hAnsi="Arial Nova"/>
                <w:sz w:val="18"/>
                <w:szCs w:val="18"/>
              </w:rPr>
            </w:pPr>
            <w:r>
              <w:rPr>
                <w:rFonts w:ascii="Arial Nova" w:hAnsi="Arial Nova"/>
                <w:sz w:val="18"/>
                <w:szCs w:val="18"/>
              </w:rPr>
              <w:t>(Completion of the event)</w:t>
            </w:r>
          </w:p>
        </w:tc>
        <w:tc>
          <w:tcPr>
            <w:tcW w:w="1317" w:type="dxa"/>
          </w:tcPr>
          <w:p w:rsidR="00AB1947" w:rsidRPr="00E524DA" w:rsidRDefault="00AB1947" w:rsidP="00AB1947">
            <w:pPr>
              <w:rPr>
                <w:rFonts w:ascii="Arial Nova" w:hAnsi="Arial Nova"/>
                <w:sz w:val="18"/>
                <w:szCs w:val="18"/>
              </w:rPr>
            </w:pPr>
            <w:r w:rsidRPr="00E524DA">
              <w:rPr>
                <w:rFonts w:ascii="Arial Nova" w:hAnsi="Arial Nova"/>
                <w:sz w:val="18"/>
                <w:szCs w:val="18"/>
              </w:rPr>
              <w:t>Process evaluation component</w:t>
            </w:r>
          </w:p>
        </w:tc>
        <w:tc>
          <w:tcPr>
            <w:tcW w:w="1618" w:type="dxa"/>
          </w:tcPr>
          <w:p w:rsidR="00AB1947" w:rsidRPr="00E524DA" w:rsidRDefault="00AB1947" w:rsidP="00AB1947">
            <w:pPr>
              <w:rPr>
                <w:rFonts w:ascii="Arial Nova" w:hAnsi="Arial Nova"/>
                <w:sz w:val="18"/>
                <w:szCs w:val="18"/>
              </w:rPr>
            </w:pPr>
            <w:r w:rsidRPr="00E524DA">
              <w:rPr>
                <w:rFonts w:ascii="Arial Nova" w:hAnsi="Arial Nova"/>
                <w:sz w:val="18"/>
                <w:szCs w:val="18"/>
              </w:rPr>
              <w:t>LOHP Project Director</w:t>
            </w:r>
          </w:p>
          <w:p w:rsidR="00AB1947" w:rsidRPr="00E524DA" w:rsidRDefault="00AB1947" w:rsidP="00AB1947">
            <w:pPr>
              <w:rPr>
                <w:rFonts w:ascii="Arial Nova" w:hAnsi="Arial Nova"/>
                <w:sz w:val="18"/>
                <w:szCs w:val="18"/>
              </w:rPr>
            </w:pPr>
            <w:r w:rsidRPr="00E524DA">
              <w:rPr>
                <w:rFonts w:ascii="Arial Nova" w:hAnsi="Arial Nova"/>
                <w:sz w:val="18"/>
                <w:szCs w:val="18"/>
              </w:rPr>
              <w:t>Local school personnel</w:t>
            </w:r>
          </w:p>
        </w:tc>
        <w:tc>
          <w:tcPr>
            <w:tcW w:w="1741" w:type="dxa"/>
          </w:tcPr>
          <w:p w:rsidR="00AB1947" w:rsidRPr="00E524DA" w:rsidRDefault="00AB1947" w:rsidP="00AB1947">
            <w:pPr>
              <w:rPr>
                <w:rFonts w:ascii="Arial Nova" w:hAnsi="Arial Nova"/>
                <w:sz w:val="18"/>
                <w:szCs w:val="18"/>
              </w:rPr>
            </w:pPr>
            <w:r w:rsidRPr="00E27D1B">
              <w:rPr>
                <w:rFonts w:ascii="Arial Nova" w:hAnsi="Arial Nova"/>
                <w:sz w:val="18"/>
                <w:szCs w:val="18"/>
              </w:rPr>
              <w:t>Descriptive analyses.  Comparison to established benchmarks</w:t>
            </w:r>
          </w:p>
        </w:tc>
        <w:tc>
          <w:tcPr>
            <w:tcW w:w="1506" w:type="dxa"/>
          </w:tcPr>
          <w:p w:rsidR="00AB1947" w:rsidRPr="00E524DA" w:rsidRDefault="00AB1947" w:rsidP="00AB1947">
            <w:pPr>
              <w:jc w:val="center"/>
              <w:rPr>
                <w:rFonts w:ascii="Arial Nova" w:hAnsi="Arial Nova"/>
                <w:sz w:val="18"/>
                <w:szCs w:val="18"/>
              </w:rPr>
            </w:pPr>
            <w:r w:rsidRPr="00E524DA">
              <w:rPr>
                <w:rFonts w:ascii="Arial Nova" w:hAnsi="Arial Nova"/>
                <w:sz w:val="18"/>
                <w:szCs w:val="18"/>
              </w:rPr>
              <w:t>EMT Associates</w:t>
            </w:r>
          </w:p>
        </w:tc>
      </w:tr>
      <w:tr w:rsidR="00AB1947" w:rsidTr="002545E6">
        <w:trPr>
          <w:jc w:val="center"/>
        </w:trPr>
        <w:tc>
          <w:tcPr>
            <w:tcW w:w="2541" w:type="dxa"/>
          </w:tcPr>
          <w:p w:rsidR="003E3044" w:rsidRPr="00CA19DA" w:rsidRDefault="00AB1947" w:rsidP="00AB1947">
            <w:pPr>
              <w:rPr>
                <w:rFonts w:ascii="Arial Nova" w:hAnsi="Arial Nova"/>
                <w:b/>
                <w:bCs/>
                <w:sz w:val="16"/>
                <w:szCs w:val="16"/>
              </w:rPr>
            </w:pPr>
            <w:r w:rsidRPr="00CA19DA">
              <w:rPr>
                <w:rFonts w:ascii="Arial Nova" w:hAnsi="Arial Nova"/>
                <w:b/>
                <w:bCs/>
                <w:sz w:val="16"/>
                <w:szCs w:val="16"/>
              </w:rPr>
              <w:t>Did increase prevention system capacity result in improvements in health for children, as measured by reductions in rates of tooth decay or untreated tooth decay?</w:t>
            </w:r>
            <w:r w:rsidR="003E3044">
              <w:rPr>
                <w:rFonts w:ascii="Arial Nova" w:hAnsi="Arial Nova"/>
                <w:b/>
                <w:bCs/>
                <w:sz w:val="16"/>
                <w:szCs w:val="16"/>
              </w:rPr>
              <w:t xml:space="preserve"> </w:t>
            </w:r>
            <w:r w:rsidR="003E3044" w:rsidRPr="002B333B">
              <w:rPr>
                <w:rFonts w:ascii="Arial Nova" w:hAnsi="Arial Nova"/>
                <w:i/>
                <w:iCs/>
                <w:sz w:val="16"/>
                <w:szCs w:val="16"/>
                <w:highlight w:val="yellow"/>
                <w:rPrChange w:id="49" w:author="Silva, Heather" w:date="2020-01-13T15:18:00Z">
                  <w:rPr>
                    <w:rFonts w:ascii="Arial Nova" w:hAnsi="Arial Nova"/>
                    <w:i/>
                    <w:iCs/>
                    <w:sz w:val="16"/>
                    <w:szCs w:val="16"/>
                  </w:rPr>
                </w:rPrChange>
              </w:rPr>
              <w:t>Objectives 5, 13, and 12</w:t>
            </w:r>
          </w:p>
        </w:tc>
        <w:tc>
          <w:tcPr>
            <w:tcW w:w="3209" w:type="dxa"/>
          </w:tcPr>
          <w:p w:rsidR="00AB1947" w:rsidRPr="00705716" w:rsidRDefault="00960CFB" w:rsidP="00705716">
            <w:pPr>
              <w:contextualSpacing/>
              <w:rPr>
                <w:rFonts w:ascii="Arial Nova" w:hAnsi="Arial Nova" w:cstheme="minorHAnsi"/>
                <w:sz w:val="16"/>
                <w:szCs w:val="16"/>
              </w:rPr>
            </w:pPr>
            <w:r>
              <w:rPr>
                <w:rFonts w:ascii="Arial Nova" w:hAnsi="Arial Nova" w:cstheme="minorHAnsi"/>
                <w:b/>
                <w:bCs/>
                <w:sz w:val="16"/>
                <w:szCs w:val="16"/>
              </w:rPr>
              <w:t xml:space="preserve">Indicator #1. </w:t>
            </w:r>
            <w:r w:rsidR="00AB1947" w:rsidRPr="00705716">
              <w:rPr>
                <w:rFonts w:ascii="Arial Nova" w:hAnsi="Arial Nova" w:cstheme="minorHAnsi"/>
                <w:sz w:val="16"/>
                <w:szCs w:val="16"/>
              </w:rPr>
              <w:t>Percent of children with decay experience</w:t>
            </w:r>
            <w:r w:rsidR="00705716">
              <w:rPr>
                <w:rFonts w:ascii="Arial Nova" w:hAnsi="Arial Nova" w:cstheme="minorHAnsi"/>
                <w:sz w:val="16"/>
                <w:szCs w:val="16"/>
              </w:rPr>
              <w:t xml:space="preserve"> </w:t>
            </w:r>
          </w:p>
          <w:p w:rsidR="00AB1947" w:rsidRPr="00705716" w:rsidRDefault="00960CFB" w:rsidP="00705716">
            <w:pPr>
              <w:tabs>
                <w:tab w:val="left" w:pos="360"/>
              </w:tabs>
              <w:contextualSpacing/>
              <w:rPr>
                <w:rFonts w:ascii="Arial Nova" w:hAnsi="Arial Nova" w:cstheme="minorHAnsi"/>
                <w:sz w:val="16"/>
                <w:szCs w:val="16"/>
              </w:rPr>
            </w:pPr>
            <w:r>
              <w:rPr>
                <w:rFonts w:ascii="Arial Nova" w:hAnsi="Arial Nova" w:cstheme="minorHAnsi"/>
                <w:b/>
                <w:bCs/>
                <w:sz w:val="16"/>
                <w:szCs w:val="16"/>
              </w:rPr>
              <w:t xml:space="preserve">Indicator #2. </w:t>
            </w:r>
            <w:r w:rsidR="00AB1947" w:rsidRPr="00705716">
              <w:rPr>
                <w:rFonts w:ascii="Arial Nova" w:hAnsi="Arial Nova" w:cstheme="minorHAnsi"/>
                <w:sz w:val="16"/>
                <w:szCs w:val="16"/>
              </w:rPr>
              <w:t>Percent of children with untreated decay</w:t>
            </w:r>
            <w:r w:rsidR="00705716" w:rsidRPr="00705716">
              <w:rPr>
                <w:rFonts w:ascii="Arial Nova" w:hAnsi="Arial Nova" w:cstheme="minorHAnsi"/>
                <w:sz w:val="16"/>
                <w:szCs w:val="16"/>
              </w:rPr>
              <w:t xml:space="preserve"> </w:t>
            </w:r>
          </w:p>
          <w:p w:rsidR="00AB1947" w:rsidRPr="00705716" w:rsidRDefault="00960CFB" w:rsidP="00AB1947">
            <w:pPr>
              <w:rPr>
                <w:rFonts w:ascii="Arial Nova" w:hAnsi="Arial Nova"/>
                <w:sz w:val="18"/>
                <w:szCs w:val="18"/>
              </w:rPr>
            </w:pPr>
            <w:r>
              <w:rPr>
                <w:rFonts w:ascii="Arial Nova" w:hAnsi="Arial Nova" w:cstheme="minorHAnsi"/>
                <w:b/>
                <w:bCs/>
                <w:sz w:val="16"/>
                <w:szCs w:val="16"/>
              </w:rPr>
              <w:t xml:space="preserve">Indicator #3. </w:t>
            </w:r>
            <w:r w:rsidR="00AB1947" w:rsidRPr="00705716">
              <w:rPr>
                <w:rFonts w:ascii="Arial Nova" w:hAnsi="Arial Nova" w:cstheme="minorHAnsi"/>
                <w:sz w:val="16"/>
                <w:szCs w:val="16"/>
              </w:rPr>
              <w:t>Percent of third grade children with dental sealants</w:t>
            </w:r>
            <w:r w:rsidR="00705716">
              <w:rPr>
                <w:rFonts w:ascii="Arial Nova" w:hAnsi="Arial Nova" w:cstheme="minorHAnsi"/>
                <w:sz w:val="16"/>
                <w:szCs w:val="16"/>
              </w:rPr>
              <w:t xml:space="preserve"> </w:t>
            </w:r>
          </w:p>
        </w:tc>
        <w:tc>
          <w:tcPr>
            <w:tcW w:w="2198" w:type="dxa"/>
          </w:tcPr>
          <w:p w:rsidR="00AB1947" w:rsidRPr="00E524DA" w:rsidRDefault="00AB1947" w:rsidP="00AB1947">
            <w:pPr>
              <w:rPr>
                <w:rFonts w:ascii="Arial Nova" w:hAnsi="Arial Nova"/>
                <w:sz w:val="18"/>
                <w:szCs w:val="18"/>
              </w:rPr>
            </w:pPr>
            <w:r>
              <w:rPr>
                <w:rFonts w:ascii="Arial Nova" w:hAnsi="Arial Nova"/>
                <w:sz w:val="18"/>
                <w:szCs w:val="18"/>
              </w:rPr>
              <w:t>Kings County LOHP</w:t>
            </w:r>
          </w:p>
          <w:p w:rsidR="00AB1947" w:rsidRPr="00E524DA" w:rsidRDefault="00AB1947" w:rsidP="00AB1947">
            <w:pPr>
              <w:rPr>
                <w:rFonts w:ascii="Arial Nova" w:hAnsi="Arial Nova"/>
                <w:sz w:val="18"/>
                <w:szCs w:val="18"/>
              </w:rPr>
            </w:pPr>
            <w:r w:rsidRPr="00E524DA">
              <w:rPr>
                <w:rFonts w:ascii="Arial Nova" w:hAnsi="Arial Nova"/>
                <w:sz w:val="18"/>
                <w:szCs w:val="18"/>
              </w:rPr>
              <w:t>Oral Health Screening Forms</w:t>
            </w:r>
          </w:p>
          <w:p w:rsidR="00AB1947" w:rsidRPr="00E524DA" w:rsidRDefault="003474F0" w:rsidP="00AB1947">
            <w:pPr>
              <w:rPr>
                <w:rFonts w:ascii="Arial Nova" w:hAnsi="Arial Nova"/>
                <w:sz w:val="18"/>
                <w:szCs w:val="18"/>
              </w:rPr>
            </w:pPr>
            <w:r>
              <w:rPr>
                <w:rFonts w:ascii="Arial Nova" w:hAnsi="Arial Nova"/>
                <w:sz w:val="18"/>
                <w:szCs w:val="18"/>
              </w:rPr>
              <w:t>(Completion of the event)</w:t>
            </w:r>
          </w:p>
        </w:tc>
        <w:tc>
          <w:tcPr>
            <w:tcW w:w="1317" w:type="dxa"/>
          </w:tcPr>
          <w:p w:rsidR="00AB1947" w:rsidRPr="00E524DA" w:rsidRDefault="00AB1947" w:rsidP="00AB1947">
            <w:pPr>
              <w:rPr>
                <w:rFonts w:ascii="Arial Nova" w:hAnsi="Arial Nova"/>
                <w:sz w:val="18"/>
                <w:szCs w:val="18"/>
              </w:rPr>
            </w:pPr>
            <w:r w:rsidRPr="00E524DA">
              <w:rPr>
                <w:rFonts w:ascii="Arial Nova" w:hAnsi="Arial Nova"/>
                <w:sz w:val="18"/>
                <w:szCs w:val="18"/>
              </w:rPr>
              <w:t>Outcome evaluation component</w:t>
            </w:r>
          </w:p>
        </w:tc>
        <w:tc>
          <w:tcPr>
            <w:tcW w:w="1618" w:type="dxa"/>
          </w:tcPr>
          <w:p w:rsidR="00AB1947" w:rsidRPr="00E524DA" w:rsidRDefault="00AB1947" w:rsidP="00AB1947">
            <w:pPr>
              <w:rPr>
                <w:rFonts w:ascii="Arial Nova" w:hAnsi="Arial Nova"/>
                <w:sz w:val="18"/>
                <w:szCs w:val="18"/>
              </w:rPr>
            </w:pPr>
            <w:r w:rsidRPr="00E524DA">
              <w:rPr>
                <w:rFonts w:ascii="Arial Nova" w:hAnsi="Arial Nova"/>
                <w:sz w:val="18"/>
                <w:szCs w:val="18"/>
              </w:rPr>
              <w:t>LOHP Project Director</w:t>
            </w:r>
          </w:p>
          <w:p w:rsidR="00AB1947" w:rsidRPr="00E524DA" w:rsidRDefault="00AB1947" w:rsidP="00AB1947">
            <w:pPr>
              <w:rPr>
                <w:rFonts w:ascii="Arial Nova" w:hAnsi="Arial Nova"/>
                <w:sz w:val="18"/>
                <w:szCs w:val="18"/>
              </w:rPr>
            </w:pPr>
            <w:r w:rsidRPr="00E524DA">
              <w:rPr>
                <w:rFonts w:ascii="Arial Nova" w:hAnsi="Arial Nova"/>
                <w:sz w:val="18"/>
                <w:szCs w:val="18"/>
              </w:rPr>
              <w:t>Local school personnel</w:t>
            </w:r>
          </w:p>
        </w:tc>
        <w:tc>
          <w:tcPr>
            <w:tcW w:w="1741" w:type="dxa"/>
          </w:tcPr>
          <w:p w:rsidR="00AB1947" w:rsidRPr="00E524DA" w:rsidRDefault="00AB1947" w:rsidP="00AB1947">
            <w:pPr>
              <w:rPr>
                <w:rFonts w:ascii="Arial Nova" w:hAnsi="Arial Nova"/>
                <w:sz w:val="18"/>
                <w:szCs w:val="18"/>
              </w:rPr>
            </w:pPr>
            <w:r w:rsidRPr="00E27D1B">
              <w:rPr>
                <w:rFonts w:ascii="Arial Nova" w:hAnsi="Arial Nova"/>
                <w:sz w:val="18"/>
                <w:szCs w:val="18"/>
              </w:rPr>
              <w:t>Descriptive analyses.  Comparison to established benchmarks</w:t>
            </w:r>
          </w:p>
        </w:tc>
        <w:tc>
          <w:tcPr>
            <w:tcW w:w="1506" w:type="dxa"/>
          </w:tcPr>
          <w:p w:rsidR="00AB1947" w:rsidRPr="00E524DA" w:rsidRDefault="00AB1947" w:rsidP="00AB1947">
            <w:pPr>
              <w:jc w:val="center"/>
              <w:rPr>
                <w:rFonts w:ascii="Arial Nova" w:hAnsi="Arial Nova"/>
                <w:sz w:val="18"/>
                <w:szCs w:val="18"/>
              </w:rPr>
            </w:pPr>
            <w:r w:rsidRPr="00E524DA">
              <w:rPr>
                <w:rFonts w:ascii="Arial Nova" w:hAnsi="Arial Nova"/>
                <w:sz w:val="18"/>
                <w:szCs w:val="18"/>
              </w:rPr>
              <w:t>EMT Associates</w:t>
            </w:r>
          </w:p>
        </w:tc>
      </w:tr>
      <w:tr w:rsidR="00AB1947" w:rsidTr="002545E6">
        <w:trPr>
          <w:jc w:val="center"/>
        </w:trPr>
        <w:tc>
          <w:tcPr>
            <w:tcW w:w="2541" w:type="dxa"/>
          </w:tcPr>
          <w:p w:rsidR="00AB1947" w:rsidRDefault="00AB1947" w:rsidP="00AB1947">
            <w:pPr>
              <w:rPr>
                <w:rFonts w:ascii="Arial Nova" w:hAnsi="Arial Nova"/>
                <w:b/>
                <w:bCs/>
                <w:sz w:val="16"/>
                <w:szCs w:val="16"/>
              </w:rPr>
            </w:pPr>
            <w:r w:rsidRPr="00CA19DA">
              <w:rPr>
                <w:rFonts w:ascii="Arial Nova" w:hAnsi="Arial Nova"/>
                <w:b/>
                <w:bCs/>
                <w:sz w:val="16"/>
                <w:szCs w:val="16"/>
              </w:rPr>
              <w:t>Did increase prevention system capacity result in increased utilization of dental services for children at greatest risk of health disparities?</w:t>
            </w:r>
          </w:p>
          <w:p w:rsidR="003E3044" w:rsidRPr="003E3044" w:rsidRDefault="003E3044" w:rsidP="00AB1947">
            <w:pPr>
              <w:rPr>
                <w:rFonts w:ascii="Arial Nova" w:hAnsi="Arial Nova"/>
                <w:i/>
                <w:iCs/>
                <w:sz w:val="16"/>
                <w:szCs w:val="16"/>
              </w:rPr>
            </w:pPr>
            <w:r w:rsidRPr="002B333B">
              <w:rPr>
                <w:rFonts w:ascii="Arial Nova" w:hAnsi="Arial Nova"/>
                <w:i/>
                <w:iCs/>
                <w:sz w:val="16"/>
                <w:szCs w:val="16"/>
                <w:highlight w:val="yellow"/>
                <w:rPrChange w:id="50" w:author="Silva, Heather" w:date="2020-01-13T15:18:00Z">
                  <w:rPr>
                    <w:rFonts w:ascii="Arial Nova" w:hAnsi="Arial Nova"/>
                    <w:i/>
                    <w:iCs/>
                    <w:sz w:val="16"/>
                    <w:szCs w:val="16"/>
                  </w:rPr>
                </w:rPrChange>
              </w:rPr>
              <w:t>Objectives 11 and 13</w:t>
            </w:r>
          </w:p>
        </w:tc>
        <w:tc>
          <w:tcPr>
            <w:tcW w:w="3209" w:type="dxa"/>
          </w:tcPr>
          <w:p w:rsidR="00AB1947" w:rsidRPr="009D6AD1" w:rsidRDefault="00960CFB" w:rsidP="009D6AD1">
            <w:pPr>
              <w:tabs>
                <w:tab w:val="left" w:pos="124"/>
              </w:tabs>
              <w:contextualSpacing/>
              <w:rPr>
                <w:rFonts w:ascii="Arial Nova" w:hAnsi="Arial Nova" w:cstheme="minorHAnsi"/>
                <w:sz w:val="16"/>
                <w:szCs w:val="16"/>
              </w:rPr>
            </w:pPr>
            <w:r>
              <w:rPr>
                <w:rFonts w:ascii="Arial Nova" w:hAnsi="Arial Nova" w:cstheme="minorHAnsi"/>
                <w:b/>
                <w:bCs/>
                <w:sz w:val="16"/>
                <w:szCs w:val="16"/>
              </w:rPr>
              <w:t xml:space="preserve">Indicator #7. </w:t>
            </w:r>
            <w:r w:rsidR="00AB1947" w:rsidRPr="009D6AD1">
              <w:rPr>
                <w:rFonts w:ascii="Arial Nova" w:hAnsi="Arial Nova" w:cstheme="minorHAnsi"/>
                <w:sz w:val="16"/>
                <w:szCs w:val="16"/>
              </w:rPr>
              <w:t>Percent of Medi-Cal children with a dental visit</w:t>
            </w:r>
          </w:p>
          <w:p w:rsidR="00AB1947" w:rsidRPr="00705716" w:rsidRDefault="00AB1947" w:rsidP="00AB1947">
            <w:pPr>
              <w:rPr>
                <w:rFonts w:ascii="Arial Nova" w:hAnsi="Arial Nova" w:cstheme="minorHAnsi"/>
                <w:sz w:val="16"/>
                <w:szCs w:val="16"/>
              </w:rPr>
            </w:pPr>
          </w:p>
        </w:tc>
        <w:tc>
          <w:tcPr>
            <w:tcW w:w="2198" w:type="dxa"/>
          </w:tcPr>
          <w:p w:rsidR="00AB1947" w:rsidRPr="00E524DA" w:rsidRDefault="00AB1947" w:rsidP="00AB1947">
            <w:pPr>
              <w:rPr>
                <w:rFonts w:ascii="Arial Nova" w:hAnsi="Arial Nova"/>
                <w:sz w:val="18"/>
                <w:szCs w:val="18"/>
              </w:rPr>
            </w:pPr>
            <w:r w:rsidRPr="00E524DA">
              <w:rPr>
                <w:rFonts w:ascii="Arial Nova" w:hAnsi="Arial Nova"/>
                <w:sz w:val="18"/>
                <w:szCs w:val="18"/>
              </w:rPr>
              <w:t>Medi-Cal Dental Utilization Reports</w:t>
            </w:r>
            <w:r w:rsidR="003474F0">
              <w:rPr>
                <w:rFonts w:ascii="Arial Nova" w:hAnsi="Arial Nova"/>
                <w:sz w:val="18"/>
                <w:szCs w:val="18"/>
              </w:rPr>
              <w:t xml:space="preserve"> (Reviewed annually)</w:t>
            </w:r>
          </w:p>
        </w:tc>
        <w:tc>
          <w:tcPr>
            <w:tcW w:w="1317" w:type="dxa"/>
          </w:tcPr>
          <w:p w:rsidR="00AB1947" w:rsidRPr="00E524DA" w:rsidRDefault="00AB1947" w:rsidP="00AB1947">
            <w:pPr>
              <w:rPr>
                <w:rFonts w:ascii="Arial Nova" w:hAnsi="Arial Nova"/>
                <w:sz w:val="18"/>
                <w:szCs w:val="18"/>
              </w:rPr>
            </w:pPr>
            <w:r w:rsidRPr="00E524DA">
              <w:rPr>
                <w:rFonts w:ascii="Arial Nova" w:hAnsi="Arial Nova"/>
                <w:sz w:val="18"/>
                <w:szCs w:val="18"/>
              </w:rPr>
              <w:t>Outcome evaluation component</w:t>
            </w:r>
          </w:p>
        </w:tc>
        <w:tc>
          <w:tcPr>
            <w:tcW w:w="1618" w:type="dxa"/>
          </w:tcPr>
          <w:p w:rsidR="00AB1947" w:rsidRPr="00E524DA" w:rsidRDefault="00AB1947" w:rsidP="00AB1947">
            <w:pPr>
              <w:rPr>
                <w:rFonts w:ascii="Arial Nova" w:hAnsi="Arial Nova"/>
                <w:sz w:val="18"/>
                <w:szCs w:val="18"/>
              </w:rPr>
            </w:pPr>
            <w:r w:rsidRPr="00E524DA">
              <w:rPr>
                <w:rFonts w:ascii="Arial Nova" w:hAnsi="Arial Nova"/>
                <w:sz w:val="18"/>
                <w:szCs w:val="18"/>
              </w:rPr>
              <w:t>EMT</w:t>
            </w:r>
          </w:p>
        </w:tc>
        <w:tc>
          <w:tcPr>
            <w:tcW w:w="1741" w:type="dxa"/>
          </w:tcPr>
          <w:p w:rsidR="00AB1947" w:rsidRPr="00E524DA" w:rsidRDefault="00AB1947" w:rsidP="00AB1947">
            <w:pPr>
              <w:rPr>
                <w:rFonts w:ascii="Arial Nova" w:hAnsi="Arial Nova"/>
                <w:sz w:val="18"/>
                <w:szCs w:val="18"/>
              </w:rPr>
            </w:pPr>
            <w:r w:rsidRPr="00E27D1B">
              <w:rPr>
                <w:rFonts w:ascii="Arial Nova" w:hAnsi="Arial Nova"/>
                <w:sz w:val="18"/>
                <w:szCs w:val="18"/>
              </w:rPr>
              <w:t>Descriptive analyses.  Comparison to established benchmarks</w:t>
            </w:r>
          </w:p>
        </w:tc>
        <w:tc>
          <w:tcPr>
            <w:tcW w:w="1506" w:type="dxa"/>
          </w:tcPr>
          <w:p w:rsidR="00AB1947" w:rsidRPr="00E524DA" w:rsidRDefault="00AB1947" w:rsidP="00AB1947">
            <w:pPr>
              <w:jc w:val="center"/>
              <w:rPr>
                <w:rFonts w:ascii="Arial Nova" w:hAnsi="Arial Nova"/>
                <w:sz w:val="18"/>
                <w:szCs w:val="18"/>
              </w:rPr>
            </w:pPr>
            <w:r w:rsidRPr="00E524DA">
              <w:rPr>
                <w:rFonts w:ascii="Arial Nova" w:hAnsi="Arial Nova"/>
                <w:sz w:val="18"/>
                <w:szCs w:val="18"/>
              </w:rPr>
              <w:t>EMT Associates</w:t>
            </w:r>
          </w:p>
        </w:tc>
      </w:tr>
    </w:tbl>
    <w:p w:rsidR="007D2081" w:rsidRDefault="007D2081">
      <w:pPr>
        <w:rPr>
          <w:rFonts w:ascii="Arial Nova" w:hAnsi="Arial Nova"/>
        </w:rPr>
      </w:pPr>
    </w:p>
    <w:p w:rsidR="00492C50" w:rsidRDefault="00492C50">
      <w:pPr>
        <w:rPr>
          <w:rFonts w:ascii="Arial Nova" w:hAnsi="Arial Nova"/>
        </w:rPr>
        <w:sectPr w:rsidR="00492C50" w:rsidSect="008A0012">
          <w:pgSz w:w="15840" w:h="12240" w:orient="landscape"/>
          <w:pgMar w:top="1080" w:right="994" w:bottom="1440" w:left="576" w:header="720" w:footer="720" w:gutter="0"/>
          <w:cols w:space="720"/>
          <w:docGrid w:linePitch="360"/>
        </w:sectPr>
      </w:pPr>
    </w:p>
    <w:p w:rsidR="00EB5DD2" w:rsidRPr="00FE1BB7" w:rsidRDefault="00EB5DD2" w:rsidP="0076542A">
      <w:pPr>
        <w:pStyle w:val="Heading2"/>
      </w:pPr>
      <w:bookmarkStart w:id="51" w:name="_Toc11741544"/>
      <w:bookmarkStart w:id="52" w:name="_Toc11741546"/>
      <w:bookmarkStart w:id="53" w:name="_Toc11741548"/>
      <w:r>
        <w:t>Timeline of Evaluation Activities</w:t>
      </w:r>
      <w:bookmarkEnd w:id="51"/>
    </w:p>
    <w:p w:rsidR="00072ADC" w:rsidRDefault="00EB5DD2" w:rsidP="00EB5DD2">
      <w:pPr>
        <w:spacing w:before="120"/>
        <w:rPr>
          <w:rFonts w:ascii="Arial" w:hAnsi="Arial" w:cs="Arial"/>
          <w:sz w:val="24"/>
          <w:szCs w:val="24"/>
        </w:rPr>
      </w:pPr>
      <w:r w:rsidRPr="00DB5F03">
        <w:rPr>
          <w:rFonts w:ascii="Arial" w:hAnsi="Arial" w:cs="Arial"/>
          <w:sz w:val="24"/>
          <w:szCs w:val="24"/>
        </w:rPr>
        <w:t xml:space="preserve">The LOHP evaluation will be implemented over a four-year </w:t>
      </w:r>
      <w:r w:rsidR="00072ADC">
        <w:rPr>
          <w:rFonts w:ascii="Arial" w:hAnsi="Arial" w:cs="Arial"/>
          <w:sz w:val="24"/>
          <w:szCs w:val="24"/>
        </w:rPr>
        <w:t xml:space="preserve">time </w:t>
      </w:r>
      <w:r w:rsidRPr="00DB5F03">
        <w:rPr>
          <w:rFonts w:ascii="Arial" w:hAnsi="Arial" w:cs="Arial"/>
          <w:sz w:val="24"/>
          <w:szCs w:val="24"/>
        </w:rPr>
        <w:t>period</w:t>
      </w:r>
      <w:r>
        <w:rPr>
          <w:rFonts w:ascii="Arial" w:hAnsi="Arial" w:cs="Arial"/>
          <w:sz w:val="24"/>
          <w:szCs w:val="24"/>
        </w:rPr>
        <w:t xml:space="preserve"> </w:t>
      </w:r>
      <w:r w:rsidR="00072ADC">
        <w:rPr>
          <w:rFonts w:ascii="Arial" w:hAnsi="Arial" w:cs="Arial"/>
          <w:sz w:val="24"/>
          <w:szCs w:val="24"/>
        </w:rPr>
        <w:t xml:space="preserve">spanning </w:t>
      </w:r>
      <w:r w:rsidRPr="00DB5F03">
        <w:rPr>
          <w:rFonts w:ascii="Arial" w:hAnsi="Arial" w:cs="Arial"/>
          <w:sz w:val="24"/>
          <w:szCs w:val="24"/>
        </w:rPr>
        <w:t>from FY 2018-19 to FY 2021-22</w:t>
      </w:r>
      <w:r>
        <w:rPr>
          <w:rFonts w:ascii="Arial" w:hAnsi="Arial" w:cs="Arial"/>
          <w:sz w:val="24"/>
          <w:szCs w:val="24"/>
        </w:rPr>
        <w:t xml:space="preserve">. Data collection will be conducted on a continuous basis using a combination of online implementation tracking tools and scannable forms that record the results of oral health screening events in schools. Archival data sources, such as Medi-Cal Dental Utilization reports, will be reviewed by the evaluation team on an annual basis as data becomes available. </w:t>
      </w:r>
      <w:r w:rsidR="00072ADC">
        <w:rPr>
          <w:rFonts w:ascii="Arial" w:hAnsi="Arial" w:cs="Arial"/>
          <w:sz w:val="24"/>
          <w:szCs w:val="24"/>
        </w:rPr>
        <w:t>Coalition meeting feedback forms will be administered at each coalition meeting and will be transmitted electronically to the evaluation team. Coalition members survey measuring perception of county oral health capacity will be administered and analyzed on an annual basis.</w:t>
      </w:r>
    </w:p>
    <w:p w:rsidR="00EB5DD2" w:rsidRPr="00787DB6" w:rsidRDefault="00EB5DD2" w:rsidP="00EB5DD2">
      <w:pPr>
        <w:pStyle w:val="Heading1"/>
      </w:pPr>
      <w:bookmarkStart w:id="54" w:name="_Toc11741545"/>
      <w:r w:rsidRPr="00787DB6">
        <w:t>Section 5: Analysis and Interpretation</w:t>
      </w:r>
      <w:bookmarkEnd w:id="54"/>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EB5DD2" w:rsidTr="00F86F10">
        <w:trPr>
          <w:trHeight w:hRule="exact" w:val="72"/>
        </w:trPr>
        <w:tc>
          <w:tcPr>
            <w:tcW w:w="9350" w:type="dxa"/>
          </w:tcPr>
          <w:p w:rsidR="00EB5DD2" w:rsidRDefault="00EB5DD2" w:rsidP="00F86F10">
            <w:pPr>
              <w:rPr>
                <w:rFonts w:ascii="Arial Nova" w:hAnsi="Arial Nova"/>
                <w:sz w:val="32"/>
                <w:szCs w:val="32"/>
              </w:rPr>
            </w:pPr>
          </w:p>
        </w:tc>
      </w:tr>
    </w:tbl>
    <w:p w:rsidR="00EB5DD2" w:rsidRPr="00960850" w:rsidRDefault="00EB5DD2" w:rsidP="00EB5DD2">
      <w:pPr>
        <w:pStyle w:val="Text"/>
        <w:spacing w:before="120"/>
      </w:pPr>
      <w:r>
        <w:t>The primary analys</w:t>
      </w:r>
      <w:r w:rsidR="00376956">
        <w:t>i</w:t>
      </w:r>
      <w:r>
        <w:t xml:space="preserve">s will involve </w:t>
      </w:r>
      <w:r w:rsidRPr="00960850">
        <w:t>descriptive analys</w:t>
      </w:r>
      <w:r w:rsidR="00376956">
        <w:t>e</w:t>
      </w:r>
      <w:r w:rsidRPr="00960850">
        <w:t xml:space="preserve">s of data sources that focus on documenting the implementation </w:t>
      </w:r>
      <w:r>
        <w:t>of the program as planned and the reach of direct prevention strategies</w:t>
      </w:r>
      <w:r w:rsidRPr="00960850">
        <w:t xml:space="preserve">. </w:t>
      </w:r>
      <w:r>
        <w:t xml:space="preserve">The evaluation will monitor program implementation </w:t>
      </w:r>
      <w:r w:rsidR="00376956">
        <w:t xml:space="preserve">and outcomes </w:t>
      </w:r>
      <w:r>
        <w:t xml:space="preserve">using comparisons to targeted benchmarks for </w:t>
      </w:r>
      <w:r w:rsidR="00376956">
        <w:t>both</w:t>
      </w:r>
      <w:r>
        <w:t xml:space="preserve"> process and outcome indicators. The evaluation methods will also involve qualitative interviews with the LOHP Project Director on an annual basis, and qualitative interviews with key coalition members at the conclusion of the grant</w:t>
      </w:r>
      <w:r w:rsidR="00376956">
        <w:t>-</w:t>
      </w:r>
      <w:r>
        <w:t>funded period. Qualitative interviews will provide context for understanding and interpreting findings from other data sources.</w:t>
      </w:r>
    </w:p>
    <w:p w:rsidR="003C7669" w:rsidRPr="00787DB6" w:rsidRDefault="003C7669" w:rsidP="003C7669">
      <w:pPr>
        <w:pStyle w:val="Heading1"/>
      </w:pPr>
      <w:r w:rsidRPr="00787DB6">
        <w:t>Section 6: Reporting and Dissemination</w:t>
      </w:r>
      <w:bookmarkEnd w:id="52"/>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3C7669" w:rsidTr="00D3481D">
        <w:trPr>
          <w:trHeight w:hRule="exact" w:val="72"/>
        </w:trPr>
        <w:tc>
          <w:tcPr>
            <w:tcW w:w="9350" w:type="dxa"/>
          </w:tcPr>
          <w:p w:rsidR="003C7669" w:rsidRDefault="003C7669" w:rsidP="00D3481D">
            <w:pPr>
              <w:rPr>
                <w:rFonts w:ascii="Arial Nova" w:hAnsi="Arial Nova"/>
                <w:sz w:val="32"/>
                <w:szCs w:val="32"/>
              </w:rPr>
            </w:pPr>
          </w:p>
        </w:tc>
      </w:tr>
    </w:tbl>
    <w:p w:rsidR="00EB5DD2" w:rsidRDefault="00507F72" w:rsidP="00507F72">
      <w:pPr>
        <w:spacing w:before="120"/>
      </w:pPr>
      <w:r>
        <w:rPr>
          <w:rFonts w:ascii="Arial" w:hAnsi="Arial" w:cs="Arial"/>
          <w:sz w:val="24"/>
          <w:szCs w:val="24"/>
        </w:rPr>
        <w:t>Data from all sources will be compiled and summarized in a PowerPoint presentation that will be presented to the First 5 Kings County Children and Families Commission and to members of the oral health coalition. The presentation, with detailed presenter notes, will be shared with the LOHP Program Director for further dissemination to coalition partners and others key stakeholders. The evaluation team will also produce a brief one-page highlights document for general stakeholder audiences summarizing key accomplishments made under the grant. T</w:t>
      </w:r>
      <w:r w:rsidR="00A5100A" w:rsidRPr="00507F72">
        <w:rPr>
          <w:rFonts w:ascii="Arial" w:hAnsi="Arial" w:cs="Arial"/>
          <w:sz w:val="24"/>
          <w:szCs w:val="24"/>
        </w:rPr>
        <w:t>he project summary</w:t>
      </w:r>
      <w:r w:rsidR="00EB5DD2" w:rsidRPr="00507F72">
        <w:rPr>
          <w:rFonts w:ascii="Arial" w:hAnsi="Arial" w:cs="Arial"/>
          <w:sz w:val="24"/>
          <w:szCs w:val="24"/>
        </w:rPr>
        <w:t>, produced in both English and in Spanish,</w:t>
      </w:r>
      <w:r w:rsidR="00A5100A" w:rsidRPr="00507F72">
        <w:rPr>
          <w:rFonts w:ascii="Arial" w:hAnsi="Arial" w:cs="Arial"/>
          <w:sz w:val="24"/>
          <w:szCs w:val="24"/>
        </w:rPr>
        <w:t xml:space="preserve"> will be shared with all coalition partner organizations to disseminate to members of their service populations.</w:t>
      </w:r>
      <w:r w:rsidR="00A5100A">
        <w:t xml:space="preserve"> </w:t>
      </w:r>
    </w:p>
    <w:p w:rsidR="003C7669" w:rsidRPr="00FC766F" w:rsidRDefault="003C7669" w:rsidP="00EB5DD2">
      <w:pPr>
        <w:pStyle w:val="Text"/>
        <w:spacing w:before="120"/>
      </w:pPr>
      <w:r w:rsidRPr="00FC766F">
        <w:rPr>
          <w:rFonts w:ascii="Arial Nova" w:hAnsi="Arial Nova"/>
          <w:b/>
        </w:rPr>
        <w:t xml:space="preserve">Exhibit </w:t>
      </w:r>
      <w:r>
        <w:rPr>
          <w:rFonts w:ascii="Arial Nova" w:hAnsi="Arial Nova"/>
          <w:b/>
        </w:rPr>
        <w:t>5</w:t>
      </w:r>
      <w:r w:rsidRPr="00FC766F">
        <w:rPr>
          <w:rFonts w:ascii="Arial Nova" w:hAnsi="Arial Nova"/>
          <w:b/>
        </w:rPr>
        <w:tab/>
      </w:r>
      <w:r w:rsidRPr="00FC766F">
        <w:rPr>
          <w:rFonts w:ascii="Arial Nova" w:hAnsi="Arial Nova"/>
          <w:bCs/>
        </w:rPr>
        <w:t>LOHP Reporting and Dissemination</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585"/>
        <w:gridCol w:w="4770"/>
      </w:tblGrid>
      <w:tr w:rsidR="003C7669" w:rsidTr="00D3481D">
        <w:tc>
          <w:tcPr>
            <w:tcW w:w="4585" w:type="dxa"/>
          </w:tcPr>
          <w:p w:rsidR="003C7669" w:rsidRDefault="003C7669" w:rsidP="00D3481D">
            <w:pPr>
              <w:rPr>
                <w:rFonts w:ascii="Arial Nova" w:hAnsi="Arial Nova"/>
                <w:b/>
              </w:rPr>
            </w:pPr>
            <w:r>
              <w:rPr>
                <w:rFonts w:ascii="Arial Nova" w:hAnsi="Arial Nova"/>
                <w:b/>
              </w:rPr>
              <w:t>Audiences</w:t>
            </w:r>
          </w:p>
        </w:tc>
        <w:tc>
          <w:tcPr>
            <w:tcW w:w="4770" w:type="dxa"/>
          </w:tcPr>
          <w:p w:rsidR="003C7669" w:rsidRDefault="003C7669" w:rsidP="00D3481D">
            <w:pPr>
              <w:rPr>
                <w:rFonts w:ascii="Arial Nova" w:hAnsi="Arial Nova"/>
                <w:b/>
              </w:rPr>
            </w:pPr>
            <w:r>
              <w:rPr>
                <w:rFonts w:ascii="Arial Nova" w:hAnsi="Arial Nova"/>
                <w:b/>
              </w:rPr>
              <w:t>How Results will be Shared</w:t>
            </w:r>
          </w:p>
        </w:tc>
      </w:tr>
      <w:tr w:rsidR="003C7669" w:rsidTr="00EB5DD2">
        <w:trPr>
          <w:trHeight w:val="667"/>
        </w:trPr>
        <w:tc>
          <w:tcPr>
            <w:tcW w:w="4585" w:type="dxa"/>
          </w:tcPr>
          <w:p w:rsidR="003C7669" w:rsidRPr="00960850" w:rsidRDefault="003C7669" w:rsidP="00D3481D">
            <w:pPr>
              <w:pStyle w:val="ListParagraph"/>
              <w:numPr>
                <w:ilvl w:val="0"/>
                <w:numId w:val="6"/>
              </w:numPr>
              <w:ind w:left="240" w:hanging="210"/>
              <w:rPr>
                <w:rFonts w:ascii="Arial Nova" w:hAnsi="Arial Nova"/>
              </w:rPr>
            </w:pPr>
            <w:r w:rsidRPr="00960850">
              <w:rPr>
                <w:rFonts w:ascii="Arial Nova" w:hAnsi="Arial Nova"/>
              </w:rPr>
              <w:t>California Department of Health, Office of Oral Health</w:t>
            </w:r>
          </w:p>
          <w:p w:rsidR="003C7669" w:rsidRPr="00960850" w:rsidRDefault="003C7669" w:rsidP="00D3481D">
            <w:pPr>
              <w:pStyle w:val="ListParagraph"/>
              <w:numPr>
                <w:ilvl w:val="0"/>
                <w:numId w:val="6"/>
              </w:numPr>
              <w:ind w:left="240" w:hanging="210"/>
              <w:rPr>
                <w:rFonts w:ascii="Arial Nova" w:hAnsi="Arial Nova"/>
                <w:b/>
              </w:rPr>
            </w:pPr>
            <w:r w:rsidRPr="006F2DD6">
              <w:rPr>
                <w:rFonts w:ascii="Arial Nova" w:hAnsi="Arial Nova"/>
              </w:rPr>
              <w:t>First 5 Kings County Commission</w:t>
            </w:r>
          </w:p>
          <w:p w:rsidR="003C7669" w:rsidRPr="00960850" w:rsidRDefault="003C7669" w:rsidP="00D3481D">
            <w:pPr>
              <w:pStyle w:val="ListParagraph"/>
              <w:numPr>
                <w:ilvl w:val="0"/>
                <w:numId w:val="6"/>
              </w:numPr>
              <w:ind w:left="240" w:hanging="210"/>
              <w:rPr>
                <w:rFonts w:ascii="Arial Nova" w:hAnsi="Arial Nova"/>
                <w:b/>
              </w:rPr>
            </w:pPr>
            <w:r>
              <w:rPr>
                <w:rFonts w:ascii="Arial Nova" w:hAnsi="Arial Nova"/>
              </w:rPr>
              <w:t>Local school boards</w:t>
            </w:r>
          </w:p>
          <w:p w:rsidR="003C7669" w:rsidRPr="006F2DD6" w:rsidRDefault="003C7669" w:rsidP="00D3481D">
            <w:pPr>
              <w:pStyle w:val="ListParagraph"/>
              <w:numPr>
                <w:ilvl w:val="0"/>
                <w:numId w:val="6"/>
              </w:numPr>
              <w:ind w:left="240" w:hanging="210"/>
              <w:rPr>
                <w:rFonts w:ascii="Arial Nova" w:hAnsi="Arial Nova"/>
                <w:b/>
              </w:rPr>
            </w:pPr>
            <w:r>
              <w:rPr>
                <w:rFonts w:ascii="Arial Nova" w:hAnsi="Arial Nova"/>
              </w:rPr>
              <w:t>Coalition partner organizations</w:t>
            </w:r>
          </w:p>
        </w:tc>
        <w:tc>
          <w:tcPr>
            <w:tcW w:w="4770" w:type="dxa"/>
          </w:tcPr>
          <w:p w:rsidR="003C7669" w:rsidRPr="006F2DD6" w:rsidRDefault="003C7669" w:rsidP="00D3481D">
            <w:pPr>
              <w:pStyle w:val="ListParagraph"/>
              <w:numPr>
                <w:ilvl w:val="0"/>
                <w:numId w:val="5"/>
              </w:numPr>
              <w:ind w:left="241" w:hanging="209"/>
              <w:rPr>
                <w:rFonts w:ascii="Arial Nova" w:hAnsi="Arial Nova"/>
              </w:rPr>
            </w:pPr>
            <w:r w:rsidRPr="006F2DD6">
              <w:rPr>
                <w:rFonts w:ascii="Arial Nova" w:hAnsi="Arial Nova"/>
              </w:rPr>
              <w:t>Presentation to the First 5 Kings County Children and Families Commission</w:t>
            </w:r>
          </w:p>
          <w:p w:rsidR="003C7669" w:rsidRPr="00443DA0" w:rsidRDefault="003C7669" w:rsidP="00D3481D">
            <w:pPr>
              <w:pStyle w:val="ListParagraph"/>
              <w:numPr>
                <w:ilvl w:val="0"/>
                <w:numId w:val="5"/>
              </w:numPr>
              <w:ind w:left="241" w:hanging="209"/>
              <w:rPr>
                <w:rFonts w:ascii="Arial Nova" w:hAnsi="Arial Nova"/>
                <w:b/>
              </w:rPr>
            </w:pPr>
            <w:r w:rsidRPr="006F2DD6">
              <w:rPr>
                <w:rFonts w:ascii="Arial Nova" w:hAnsi="Arial Nova"/>
              </w:rPr>
              <w:t>Presentation to Kings County Local Oral Health Coalition</w:t>
            </w:r>
          </w:p>
          <w:p w:rsidR="00EB5DD2" w:rsidRPr="00EB5DD2" w:rsidRDefault="003C7669" w:rsidP="00EB5DD2">
            <w:pPr>
              <w:pStyle w:val="ListParagraph"/>
              <w:numPr>
                <w:ilvl w:val="0"/>
                <w:numId w:val="5"/>
              </w:numPr>
              <w:ind w:left="241" w:hanging="209"/>
              <w:rPr>
                <w:rFonts w:ascii="Arial Nova" w:hAnsi="Arial Nova"/>
                <w:b/>
              </w:rPr>
            </w:pPr>
            <w:r w:rsidRPr="00443DA0">
              <w:rPr>
                <w:rFonts w:ascii="Arial Nova" w:hAnsi="Arial Nova"/>
              </w:rPr>
              <w:t>Presentation to local school boards</w:t>
            </w:r>
          </w:p>
          <w:p w:rsidR="003C7669" w:rsidRPr="006F2DD6" w:rsidRDefault="003C7669" w:rsidP="00EB5DD2">
            <w:pPr>
              <w:pStyle w:val="ListParagraph"/>
              <w:numPr>
                <w:ilvl w:val="0"/>
                <w:numId w:val="5"/>
              </w:numPr>
              <w:ind w:left="241" w:hanging="209"/>
              <w:rPr>
                <w:rFonts w:ascii="Arial Nova" w:hAnsi="Arial Nova"/>
                <w:b/>
              </w:rPr>
            </w:pPr>
            <w:r w:rsidRPr="00966207">
              <w:rPr>
                <w:rFonts w:ascii="Arial Nova" w:hAnsi="Arial Nova"/>
              </w:rPr>
              <w:t>Evaluation highlights flyer for coalition partners to distribute to service populations</w:t>
            </w:r>
          </w:p>
        </w:tc>
      </w:tr>
    </w:tbl>
    <w:p w:rsidR="00492C50" w:rsidRPr="00BD3462" w:rsidRDefault="00492C50" w:rsidP="005C012E">
      <w:pPr>
        <w:pStyle w:val="Heading1"/>
      </w:pPr>
      <w:r>
        <w:t>Attachments</w:t>
      </w:r>
      <w:bookmarkEnd w:id="53"/>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92C50" w:rsidTr="005C012E">
        <w:trPr>
          <w:trHeight w:hRule="exact" w:val="72"/>
        </w:trPr>
        <w:tc>
          <w:tcPr>
            <w:tcW w:w="9350" w:type="dxa"/>
          </w:tcPr>
          <w:p w:rsidR="00492C50" w:rsidRDefault="00492C50" w:rsidP="00492C50">
            <w:pPr>
              <w:jc w:val="center"/>
              <w:rPr>
                <w:rFonts w:ascii="Arial Nova" w:hAnsi="Arial Nova"/>
                <w:sz w:val="32"/>
                <w:szCs w:val="32"/>
              </w:rPr>
            </w:pPr>
          </w:p>
        </w:tc>
      </w:tr>
    </w:tbl>
    <w:p w:rsidR="00492C50" w:rsidRPr="006A04A3" w:rsidRDefault="00492C50" w:rsidP="00492C50">
      <w:pPr>
        <w:jc w:val="center"/>
        <w:rPr>
          <w:rFonts w:ascii="Arial Nova" w:hAnsi="Arial Nova"/>
        </w:rPr>
      </w:pPr>
    </w:p>
    <w:sectPr w:rsidR="00492C50" w:rsidRPr="006A04A3" w:rsidSect="008A0012">
      <w:pgSz w:w="12240" w:h="15840"/>
      <w:pgMar w:top="994" w:right="144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69" w:rsidRDefault="004B3D69" w:rsidP="00954A09">
      <w:pPr>
        <w:spacing w:after="0" w:line="240" w:lineRule="auto"/>
      </w:pPr>
      <w:r>
        <w:separator/>
      </w:r>
    </w:p>
  </w:endnote>
  <w:endnote w:type="continuationSeparator" w:id="0">
    <w:p w:rsidR="004B3D69" w:rsidRDefault="004B3D69" w:rsidP="0095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ova">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62" w:rsidRDefault="00F94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42686"/>
      <w:docPartObj>
        <w:docPartGallery w:val="Page Numbers (Bottom of Page)"/>
        <w:docPartUnique/>
      </w:docPartObj>
    </w:sdtPr>
    <w:sdtEndPr>
      <w:rPr>
        <w:noProof/>
      </w:rPr>
    </w:sdtEndPr>
    <w:sdtContent>
      <w:p w:rsidR="00F94A62" w:rsidRDefault="00F94A62">
        <w:pPr>
          <w:pStyle w:val="Footer"/>
          <w:jc w:val="center"/>
        </w:pPr>
        <w:r w:rsidRPr="00AB4B0B">
          <w:rPr>
            <w:rFonts w:ascii="Arial Nova" w:hAnsi="Arial Nova"/>
          </w:rPr>
          <w:fldChar w:fldCharType="begin"/>
        </w:r>
        <w:r w:rsidRPr="00AB4B0B">
          <w:rPr>
            <w:rFonts w:ascii="Arial Nova" w:hAnsi="Arial Nova"/>
          </w:rPr>
          <w:instrText xml:space="preserve"> PAGE   \* MERGEFORMAT </w:instrText>
        </w:r>
        <w:r w:rsidRPr="00AB4B0B">
          <w:rPr>
            <w:rFonts w:ascii="Arial Nova" w:hAnsi="Arial Nova"/>
          </w:rPr>
          <w:fldChar w:fldCharType="separate"/>
        </w:r>
        <w:r w:rsidR="00E90553">
          <w:rPr>
            <w:rFonts w:ascii="Arial Nova" w:hAnsi="Arial Nova"/>
            <w:noProof/>
          </w:rPr>
          <w:t>1</w:t>
        </w:r>
        <w:r w:rsidRPr="00AB4B0B">
          <w:rPr>
            <w:rFonts w:ascii="Arial Nova" w:hAnsi="Arial Nova"/>
            <w:noProof/>
          </w:rPr>
          <w:fldChar w:fldCharType="end"/>
        </w:r>
      </w:p>
    </w:sdtContent>
  </w:sdt>
  <w:p w:rsidR="00F94A62" w:rsidRDefault="00F94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62" w:rsidRDefault="00F94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69" w:rsidRDefault="004B3D69" w:rsidP="00954A09">
      <w:pPr>
        <w:spacing w:after="0" w:line="240" w:lineRule="auto"/>
      </w:pPr>
      <w:r>
        <w:separator/>
      </w:r>
    </w:p>
  </w:footnote>
  <w:footnote w:type="continuationSeparator" w:id="0">
    <w:p w:rsidR="004B3D69" w:rsidRDefault="004B3D69" w:rsidP="00954A09">
      <w:pPr>
        <w:spacing w:after="0" w:line="240" w:lineRule="auto"/>
      </w:pPr>
      <w:r>
        <w:continuationSeparator/>
      </w:r>
    </w:p>
  </w:footnote>
  <w:footnote w:id="1">
    <w:p w:rsidR="00F94A62" w:rsidRPr="008C774F" w:rsidRDefault="00F94A62" w:rsidP="00954A09">
      <w:pPr>
        <w:pStyle w:val="FootnoteText"/>
        <w:rPr>
          <w:rFonts w:ascii="Arial Nova" w:hAnsi="Arial Nova" w:cstheme="minorHAnsi"/>
          <w:sz w:val="18"/>
          <w:szCs w:val="18"/>
        </w:rPr>
      </w:pPr>
      <w:r w:rsidRPr="008C774F">
        <w:rPr>
          <w:rStyle w:val="FootnoteReference"/>
          <w:rFonts w:ascii="Arial Nova" w:hAnsi="Arial Nova" w:cstheme="minorHAnsi"/>
          <w:sz w:val="18"/>
          <w:szCs w:val="18"/>
        </w:rPr>
        <w:footnoteRef/>
      </w:r>
      <w:r w:rsidRPr="008C774F">
        <w:rPr>
          <w:rFonts w:ascii="Arial Nova" w:hAnsi="Arial Nova" w:cstheme="minorHAnsi"/>
          <w:sz w:val="18"/>
          <w:szCs w:val="18"/>
        </w:rPr>
        <w:t xml:space="preserve"> https://www.census.gov/quickfacts/fact/table/kingscountycalifornia/PST045217</w:t>
      </w:r>
    </w:p>
  </w:footnote>
  <w:footnote w:id="2">
    <w:p w:rsidR="00F94A62" w:rsidRPr="008C774F" w:rsidRDefault="00F94A62" w:rsidP="002B7340">
      <w:pPr>
        <w:pStyle w:val="FootnoteText"/>
        <w:tabs>
          <w:tab w:val="left" w:pos="180"/>
        </w:tabs>
        <w:ind w:left="180" w:hanging="180"/>
        <w:rPr>
          <w:rFonts w:ascii="Arial Nova" w:hAnsi="Arial Nova" w:cstheme="minorHAnsi"/>
          <w:sz w:val="18"/>
          <w:szCs w:val="18"/>
        </w:rPr>
      </w:pPr>
      <w:r w:rsidRPr="00285343">
        <w:rPr>
          <w:rStyle w:val="FootnoteReference"/>
          <w:rFonts w:asciiTheme="minorHAnsi" w:hAnsiTheme="minorHAnsi" w:cstheme="minorHAnsi"/>
          <w:sz w:val="18"/>
          <w:szCs w:val="18"/>
        </w:rPr>
        <w:footnoteRef/>
      </w:r>
      <w:r w:rsidRPr="00285343">
        <w:rPr>
          <w:rFonts w:asciiTheme="minorHAnsi" w:hAnsiTheme="minorHAnsi" w:cstheme="minorHAnsi"/>
          <w:sz w:val="18"/>
          <w:szCs w:val="18"/>
        </w:rPr>
        <w:t xml:space="preserve"> </w:t>
      </w:r>
      <w:r w:rsidRPr="00285343">
        <w:rPr>
          <w:rFonts w:asciiTheme="minorHAnsi" w:hAnsiTheme="minorHAnsi" w:cstheme="minorHAnsi"/>
          <w:sz w:val="18"/>
          <w:szCs w:val="18"/>
        </w:rPr>
        <w:tab/>
      </w:r>
      <w:r w:rsidRPr="008C774F">
        <w:rPr>
          <w:rFonts w:ascii="Arial Nova" w:hAnsi="Arial Nova" w:cstheme="minorHAnsi"/>
          <w:sz w:val="18"/>
          <w:szCs w:val="18"/>
          <w:shd w:val="clear" w:color="auto" w:fill="FFFFFF"/>
        </w:rPr>
        <w:t>Fischer DJ, O’Hayre M, Kusiak JW, Somerman MJ, Hill CV. Oral Health Disparities: A Perspective from the National Institute of Dental and Craniofacial Research. </w:t>
      </w:r>
      <w:r w:rsidRPr="008C774F">
        <w:rPr>
          <w:rFonts w:ascii="Arial Nova" w:hAnsi="Arial Nova" w:cstheme="minorHAnsi"/>
          <w:iCs/>
          <w:sz w:val="18"/>
          <w:szCs w:val="18"/>
          <w:shd w:val="clear" w:color="auto" w:fill="FFFFFF"/>
        </w:rPr>
        <w:t>Am J Public Health</w:t>
      </w:r>
      <w:r w:rsidRPr="008C774F">
        <w:rPr>
          <w:rFonts w:ascii="Arial Nova" w:hAnsi="Arial Nova" w:cstheme="minorHAnsi"/>
          <w:sz w:val="18"/>
          <w:szCs w:val="18"/>
          <w:shd w:val="clear" w:color="auto" w:fill="FFFFFF"/>
        </w:rPr>
        <w:t xml:space="preserve"> 2017;107(Suppl 1):S36-S38.</w:t>
      </w:r>
    </w:p>
  </w:footnote>
  <w:footnote w:id="3">
    <w:p w:rsidR="00F94A62" w:rsidRDefault="00F94A62" w:rsidP="002B7340">
      <w:pPr>
        <w:pStyle w:val="FootnoteText"/>
        <w:tabs>
          <w:tab w:val="left" w:pos="180"/>
        </w:tabs>
        <w:ind w:left="180" w:hanging="180"/>
        <w:jc w:val="left"/>
        <w:rPr>
          <w:rFonts w:asciiTheme="minorHAnsi" w:hAnsiTheme="minorHAnsi" w:cstheme="minorHAnsi"/>
          <w:sz w:val="18"/>
          <w:szCs w:val="18"/>
        </w:rPr>
      </w:pPr>
      <w:r w:rsidRPr="008C774F">
        <w:rPr>
          <w:rStyle w:val="FootnoteReference"/>
          <w:rFonts w:ascii="Arial Nova" w:hAnsi="Arial Nova" w:cstheme="minorHAnsi"/>
          <w:sz w:val="18"/>
          <w:szCs w:val="18"/>
        </w:rPr>
        <w:footnoteRef/>
      </w:r>
      <w:r w:rsidRPr="008C774F">
        <w:rPr>
          <w:rFonts w:ascii="Arial Nova" w:hAnsi="Arial Nova" w:cstheme="minorHAnsi"/>
          <w:sz w:val="18"/>
          <w:szCs w:val="18"/>
        </w:rPr>
        <w:tab/>
        <w:t xml:space="preserve">California Department of Health Care Services. Medi-Cal Certified Eligibles, Recent Trends. </w:t>
      </w:r>
      <w:hyperlink r:id="rId1" w:history="1">
        <w:r w:rsidRPr="008C774F">
          <w:rPr>
            <w:rStyle w:val="Hyperlink"/>
            <w:rFonts w:ascii="Arial Nova" w:hAnsi="Arial Nova" w:cstheme="minorHAnsi"/>
            <w:sz w:val="18"/>
            <w:szCs w:val="18"/>
          </w:rPr>
          <w:t>http://www.dhcs.ca.gov/dataandstats/statistics/Pages/Medi-Cal-Certified-EligiblesRecentTrends.aspx</w:t>
        </w:r>
      </w:hyperlink>
      <w:r w:rsidRPr="00285343">
        <w:rPr>
          <w:rFonts w:asciiTheme="minorHAnsi" w:hAnsiTheme="minorHAnsi" w:cstheme="minorHAnsi"/>
          <w:sz w:val="18"/>
          <w:szCs w:val="18"/>
        </w:rPr>
        <w:t xml:space="preserve"> </w:t>
      </w:r>
    </w:p>
  </w:footnote>
  <w:footnote w:id="4">
    <w:p w:rsidR="00F94A62" w:rsidRDefault="00F94A62" w:rsidP="002B7340">
      <w:pPr>
        <w:tabs>
          <w:tab w:val="left" w:pos="180"/>
        </w:tabs>
        <w:ind w:left="180" w:hanging="180"/>
      </w:pPr>
      <w:r w:rsidRPr="00285343">
        <w:rPr>
          <w:rStyle w:val="FootnoteReference"/>
          <w:rFonts w:cstheme="minorHAnsi"/>
          <w:sz w:val="18"/>
          <w:szCs w:val="18"/>
        </w:rPr>
        <w:footnoteRef/>
      </w:r>
      <w:r>
        <w:rPr>
          <w:rFonts w:cstheme="minorHAnsi"/>
          <w:sz w:val="18"/>
          <w:szCs w:val="18"/>
        </w:rPr>
        <w:tab/>
        <w:t xml:space="preserve">Association of State &amp; Territorial Dental Directors. Early Childhood Caries Policy Statement. </w:t>
      </w:r>
      <w:hyperlink r:id="rId2" w:history="1">
        <w:r w:rsidRPr="0012355C">
          <w:rPr>
            <w:rStyle w:val="Hyperlink"/>
            <w:rFonts w:cstheme="minorHAnsi"/>
            <w:sz w:val="18"/>
            <w:szCs w:val="18"/>
          </w:rPr>
          <w:t>https://www.astdd.org/docs/early-childhood-caries-policy-statement-6-5-12.doc</w:t>
        </w:r>
      </w:hyperlink>
      <w:r>
        <w:rPr>
          <w:rFonts w:cstheme="minorHAnsi"/>
          <w:color w:val="000000"/>
          <w:sz w:val="18"/>
          <w:szCs w:val="18"/>
        </w:rPr>
        <w:t xml:space="preserve"> </w:t>
      </w:r>
    </w:p>
  </w:footnote>
  <w:footnote w:id="5">
    <w:p w:rsidR="00F94A62" w:rsidRDefault="00F94A62" w:rsidP="002B7340">
      <w:pPr>
        <w:pStyle w:val="FootnoteText"/>
        <w:tabs>
          <w:tab w:val="left" w:pos="180"/>
        </w:tabs>
        <w:rPr>
          <w:rFonts w:asciiTheme="minorHAnsi" w:hAnsiTheme="minorHAnsi" w:cstheme="minorHAnsi"/>
          <w:sz w:val="18"/>
          <w:szCs w:val="18"/>
        </w:rPr>
      </w:pPr>
      <w:r w:rsidRPr="00112FE9">
        <w:rPr>
          <w:rStyle w:val="FootnoteReference"/>
          <w:rFonts w:asciiTheme="minorHAnsi" w:hAnsiTheme="minorHAnsi" w:cstheme="minorHAnsi"/>
          <w:sz w:val="18"/>
          <w:szCs w:val="18"/>
        </w:rPr>
        <w:footnoteRef/>
      </w:r>
      <w:r w:rsidRPr="00112FE9">
        <w:rPr>
          <w:rFonts w:asciiTheme="minorHAnsi" w:hAnsiTheme="minorHAnsi" w:cstheme="minorHAnsi"/>
          <w:sz w:val="18"/>
          <w:szCs w:val="18"/>
        </w:rPr>
        <w:t xml:space="preserve"> </w:t>
      </w:r>
      <w:r>
        <w:rPr>
          <w:rFonts w:asciiTheme="minorHAnsi" w:hAnsiTheme="minorHAnsi" w:cstheme="minorHAnsi"/>
          <w:sz w:val="18"/>
          <w:szCs w:val="18"/>
        </w:rPr>
        <w:tab/>
      </w:r>
      <w:r w:rsidRPr="00112FE9">
        <w:rPr>
          <w:rFonts w:asciiTheme="minorHAnsi" w:hAnsiTheme="minorHAnsi" w:cstheme="minorHAnsi"/>
          <w:sz w:val="18"/>
          <w:szCs w:val="18"/>
        </w:rPr>
        <w:t>2017 Head Start Performance Indicator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62" w:rsidRDefault="00F94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62" w:rsidRDefault="00F94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62" w:rsidRDefault="00F94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C0A"/>
    <w:multiLevelType w:val="hybridMultilevel"/>
    <w:tmpl w:val="9A0A0524"/>
    <w:lvl w:ilvl="0" w:tplc="7DE400BC">
      <w:start w:val="1"/>
      <w:numFmt w:val="decimal"/>
      <w:lvlText w:val="%1."/>
      <w:lvlJc w:val="left"/>
      <w:pPr>
        <w:ind w:left="720" w:hanging="360"/>
      </w:pPr>
      <w:rPr>
        <w:rFonts w:ascii="Arial Nova" w:eastAsiaTheme="minorHAnsi" w:hAnsi="Arial Nova"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7831"/>
    <w:multiLevelType w:val="hybridMultilevel"/>
    <w:tmpl w:val="37C85DFE"/>
    <w:lvl w:ilvl="0" w:tplc="04090001">
      <w:start w:val="1"/>
      <w:numFmt w:val="bullet"/>
      <w:lvlText w:val=""/>
      <w:lvlJc w:val="left"/>
      <w:pPr>
        <w:ind w:left="144" w:hanging="145"/>
      </w:pPr>
      <w:rPr>
        <w:rFonts w:ascii="Symbol" w:hAnsi="Symbol" w:hint="default"/>
        <w:spacing w:val="1"/>
        <w:sz w:val="16"/>
        <w:szCs w:val="16"/>
      </w:rPr>
    </w:lvl>
    <w:lvl w:ilvl="1" w:tplc="05F4DEB0">
      <w:start w:val="1"/>
      <w:numFmt w:val="bullet"/>
      <w:lvlText w:val="•"/>
      <w:lvlJc w:val="left"/>
      <w:pPr>
        <w:ind w:left="533" w:hanging="361"/>
      </w:pPr>
    </w:lvl>
    <w:lvl w:ilvl="2" w:tplc="96B641EC">
      <w:start w:val="1"/>
      <w:numFmt w:val="bullet"/>
      <w:lvlText w:val="•"/>
      <w:lvlJc w:val="left"/>
      <w:pPr>
        <w:ind w:left="706" w:hanging="361"/>
      </w:pPr>
    </w:lvl>
    <w:lvl w:ilvl="3" w:tplc="527022B2">
      <w:start w:val="1"/>
      <w:numFmt w:val="bullet"/>
      <w:lvlText w:val="•"/>
      <w:lvlJc w:val="left"/>
      <w:pPr>
        <w:ind w:left="879" w:hanging="361"/>
      </w:pPr>
    </w:lvl>
    <w:lvl w:ilvl="4" w:tplc="4CD61D2A">
      <w:start w:val="1"/>
      <w:numFmt w:val="bullet"/>
      <w:lvlText w:val="•"/>
      <w:lvlJc w:val="left"/>
      <w:pPr>
        <w:ind w:left="1051" w:hanging="361"/>
      </w:pPr>
    </w:lvl>
    <w:lvl w:ilvl="5" w:tplc="49BAC59A">
      <w:start w:val="1"/>
      <w:numFmt w:val="bullet"/>
      <w:lvlText w:val="•"/>
      <w:lvlJc w:val="left"/>
      <w:pPr>
        <w:ind w:left="1224" w:hanging="361"/>
      </w:pPr>
    </w:lvl>
    <w:lvl w:ilvl="6" w:tplc="5F4EB97A">
      <w:start w:val="1"/>
      <w:numFmt w:val="bullet"/>
      <w:lvlText w:val="•"/>
      <w:lvlJc w:val="left"/>
      <w:pPr>
        <w:ind w:left="1397" w:hanging="361"/>
      </w:pPr>
    </w:lvl>
    <w:lvl w:ilvl="7" w:tplc="F1C019BE">
      <w:start w:val="1"/>
      <w:numFmt w:val="bullet"/>
      <w:lvlText w:val="•"/>
      <w:lvlJc w:val="left"/>
      <w:pPr>
        <w:ind w:left="1570" w:hanging="361"/>
      </w:pPr>
    </w:lvl>
    <w:lvl w:ilvl="8" w:tplc="E98A0C98">
      <w:start w:val="1"/>
      <w:numFmt w:val="bullet"/>
      <w:lvlText w:val="•"/>
      <w:lvlJc w:val="left"/>
      <w:pPr>
        <w:ind w:left="1743" w:hanging="361"/>
      </w:pPr>
    </w:lvl>
  </w:abstractNum>
  <w:abstractNum w:abstractNumId="2">
    <w:nsid w:val="0A6D18CA"/>
    <w:multiLevelType w:val="hybridMultilevel"/>
    <w:tmpl w:val="7D7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23C2E"/>
    <w:multiLevelType w:val="hybridMultilevel"/>
    <w:tmpl w:val="9FC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D0F8C"/>
    <w:multiLevelType w:val="hybridMultilevel"/>
    <w:tmpl w:val="5AD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24C99"/>
    <w:multiLevelType w:val="hybridMultilevel"/>
    <w:tmpl w:val="820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256C9"/>
    <w:multiLevelType w:val="hybridMultilevel"/>
    <w:tmpl w:val="D94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A490E"/>
    <w:multiLevelType w:val="multilevel"/>
    <w:tmpl w:val="935C976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EA28A1"/>
    <w:multiLevelType w:val="hybridMultilevel"/>
    <w:tmpl w:val="CD34E970"/>
    <w:lvl w:ilvl="0" w:tplc="3B9A0E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71FBB"/>
    <w:multiLevelType w:val="hybridMultilevel"/>
    <w:tmpl w:val="074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0141"/>
    <w:multiLevelType w:val="hybridMultilevel"/>
    <w:tmpl w:val="85D0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24B82"/>
    <w:multiLevelType w:val="hybridMultilevel"/>
    <w:tmpl w:val="DE7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A3128"/>
    <w:multiLevelType w:val="hybridMultilevel"/>
    <w:tmpl w:val="175A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7102E"/>
    <w:multiLevelType w:val="hybridMultilevel"/>
    <w:tmpl w:val="94E47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4BB023C"/>
    <w:multiLevelType w:val="hybridMultilevel"/>
    <w:tmpl w:val="92B0FE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84AE5"/>
    <w:multiLevelType w:val="hybridMultilevel"/>
    <w:tmpl w:val="ECE4954A"/>
    <w:lvl w:ilvl="0" w:tplc="B7BE6ED0">
      <w:start w:val="1"/>
      <w:numFmt w:val="bullet"/>
      <w:lvlText w:val="•"/>
      <w:lvlJc w:val="left"/>
      <w:pPr>
        <w:tabs>
          <w:tab w:val="num" w:pos="720"/>
        </w:tabs>
        <w:ind w:left="720" w:hanging="360"/>
      </w:pPr>
      <w:rPr>
        <w:rFonts w:ascii="Arial" w:hAnsi="Arial" w:hint="default"/>
      </w:rPr>
    </w:lvl>
    <w:lvl w:ilvl="1" w:tplc="79DEBDCE" w:tentative="1">
      <w:start w:val="1"/>
      <w:numFmt w:val="bullet"/>
      <w:lvlText w:val="•"/>
      <w:lvlJc w:val="left"/>
      <w:pPr>
        <w:tabs>
          <w:tab w:val="num" w:pos="1440"/>
        </w:tabs>
        <w:ind w:left="1440" w:hanging="360"/>
      </w:pPr>
      <w:rPr>
        <w:rFonts w:ascii="Arial" w:hAnsi="Arial" w:hint="default"/>
      </w:rPr>
    </w:lvl>
    <w:lvl w:ilvl="2" w:tplc="404E7D94" w:tentative="1">
      <w:start w:val="1"/>
      <w:numFmt w:val="bullet"/>
      <w:lvlText w:val="•"/>
      <w:lvlJc w:val="left"/>
      <w:pPr>
        <w:tabs>
          <w:tab w:val="num" w:pos="2160"/>
        </w:tabs>
        <w:ind w:left="2160" w:hanging="360"/>
      </w:pPr>
      <w:rPr>
        <w:rFonts w:ascii="Arial" w:hAnsi="Arial" w:hint="default"/>
      </w:rPr>
    </w:lvl>
    <w:lvl w:ilvl="3" w:tplc="172EB448" w:tentative="1">
      <w:start w:val="1"/>
      <w:numFmt w:val="bullet"/>
      <w:lvlText w:val="•"/>
      <w:lvlJc w:val="left"/>
      <w:pPr>
        <w:tabs>
          <w:tab w:val="num" w:pos="2880"/>
        </w:tabs>
        <w:ind w:left="2880" w:hanging="360"/>
      </w:pPr>
      <w:rPr>
        <w:rFonts w:ascii="Arial" w:hAnsi="Arial" w:hint="default"/>
      </w:rPr>
    </w:lvl>
    <w:lvl w:ilvl="4" w:tplc="C7386818" w:tentative="1">
      <w:start w:val="1"/>
      <w:numFmt w:val="bullet"/>
      <w:lvlText w:val="•"/>
      <w:lvlJc w:val="left"/>
      <w:pPr>
        <w:tabs>
          <w:tab w:val="num" w:pos="3600"/>
        </w:tabs>
        <w:ind w:left="3600" w:hanging="360"/>
      </w:pPr>
      <w:rPr>
        <w:rFonts w:ascii="Arial" w:hAnsi="Arial" w:hint="default"/>
      </w:rPr>
    </w:lvl>
    <w:lvl w:ilvl="5" w:tplc="E2DA57F4" w:tentative="1">
      <w:start w:val="1"/>
      <w:numFmt w:val="bullet"/>
      <w:lvlText w:val="•"/>
      <w:lvlJc w:val="left"/>
      <w:pPr>
        <w:tabs>
          <w:tab w:val="num" w:pos="4320"/>
        </w:tabs>
        <w:ind w:left="4320" w:hanging="360"/>
      </w:pPr>
      <w:rPr>
        <w:rFonts w:ascii="Arial" w:hAnsi="Arial" w:hint="default"/>
      </w:rPr>
    </w:lvl>
    <w:lvl w:ilvl="6" w:tplc="7FD2F842" w:tentative="1">
      <w:start w:val="1"/>
      <w:numFmt w:val="bullet"/>
      <w:lvlText w:val="•"/>
      <w:lvlJc w:val="left"/>
      <w:pPr>
        <w:tabs>
          <w:tab w:val="num" w:pos="5040"/>
        </w:tabs>
        <w:ind w:left="5040" w:hanging="360"/>
      </w:pPr>
      <w:rPr>
        <w:rFonts w:ascii="Arial" w:hAnsi="Arial" w:hint="default"/>
      </w:rPr>
    </w:lvl>
    <w:lvl w:ilvl="7" w:tplc="B126AC02" w:tentative="1">
      <w:start w:val="1"/>
      <w:numFmt w:val="bullet"/>
      <w:lvlText w:val="•"/>
      <w:lvlJc w:val="left"/>
      <w:pPr>
        <w:tabs>
          <w:tab w:val="num" w:pos="5760"/>
        </w:tabs>
        <w:ind w:left="5760" w:hanging="360"/>
      </w:pPr>
      <w:rPr>
        <w:rFonts w:ascii="Arial" w:hAnsi="Arial" w:hint="default"/>
      </w:rPr>
    </w:lvl>
    <w:lvl w:ilvl="8" w:tplc="67EE8140" w:tentative="1">
      <w:start w:val="1"/>
      <w:numFmt w:val="bullet"/>
      <w:lvlText w:val="•"/>
      <w:lvlJc w:val="left"/>
      <w:pPr>
        <w:tabs>
          <w:tab w:val="num" w:pos="6480"/>
        </w:tabs>
        <w:ind w:left="6480" w:hanging="360"/>
      </w:pPr>
      <w:rPr>
        <w:rFonts w:ascii="Arial" w:hAnsi="Aria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3"/>
  </w:num>
  <w:num w:numId="5">
    <w:abstractNumId w:val="11"/>
  </w:num>
  <w:num w:numId="6">
    <w:abstractNumId w:val="4"/>
  </w:num>
  <w:num w:numId="7">
    <w:abstractNumId w:val="15"/>
  </w:num>
  <w:num w:numId="8">
    <w:abstractNumId w:val="5"/>
  </w:num>
  <w:num w:numId="9">
    <w:abstractNumId w:val="2"/>
  </w:num>
  <w:num w:numId="10">
    <w:abstractNumId w:val="6"/>
  </w:num>
  <w:num w:numId="11">
    <w:abstractNumId w:val="9"/>
  </w:num>
  <w:num w:numId="12">
    <w:abstractNumId w:val="12"/>
  </w:num>
  <w:num w:numId="13">
    <w:abstractNumId w:val="7"/>
  </w:num>
  <w:num w:numId="14">
    <w:abstractNumId w:val="14"/>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B3"/>
    <w:rsid w:val="000220C9"/>
    <w:rsid w:val="00024E41"/>
    <w:rsid w:val="00043DC3"/>
    <w:rsid w:val="00061925"/>
    <w:rsid w:val="00065F01"/>
    <w:rsid w:val="00072ADC"/>
    <w:rsid w:val="0008169B"/>
    <w:rsid w:val="000974B3"/>
    <w:rsid w:val="000B2062"/>
    <w:rsid w:val="000E7304"/>
    <w:rsid w:val="000F182A"/>
    <w:rsid w:val="0011200C"/>
    <w:rsid w:val="00121206"/>
    <w:rsid w:val="00137F8B"/>
    <w:rsid w:val="001650E7"/>
    <w:rsid w:val="001834AD"/>
    <w:rsid w:val="001841C9"/>
    <w:rsid w:val="00187D60"/>
    <w:rsid w:val="001A432A"/>
    <w:rsid w:val="001B347C"/>
    <w:rsid w:val="001D344F"/>
    <w:rsid w:val="001E206C"/>
    <w:rsid w:val="001E25A3"/>
    <w:rsid w:val="001E25A7"/>
    <w:rsid w:val="001E7575"/>
    <w:rsid w:val="001F2F57"/>
    <w:rsid w:val="0021102A"/>
    <w:rsid w:val="0021366F"/>
    <w:rsid w:val="00223A3A"/>
    <w:rsid w:val="00235BB8"/>
    <w:rsid w:val="0024022B"/>
    <w:rsid w:val="00250F2A"/>
    <w:rsid w:val="002545E6"/>
    <w:rsid w:val="00261631"/>
    <w:rsid w:val="00265D90"/>
    <w:rsid w:val="00267BCB"/>
    <w:rsid w:val="00292BD6"/>
    <w:rsid w:val="00296D92"/>
    <w:rsid w:val="002B333B"/>
    <w:rsid w:val="002B70C0"/>
    <w:rsid w:val="002B7340"/>
    <w:rsid w:val="002E6294"/>
    <w:rsid w:val="002F057B"/>
    <w:rsid w:val="002F3FA3"/>
    <w:rsid w:val="002F6D75"/>
    <w:rsid w:val="003210CB"/>
    <w:rsid w:val="003213B3"/>
    <w:rsid w:val="00322710"/>
    <w:rsid w:val="003474F0"/>
    <w:rsid w:val="00355629"/>
    <w:rsid w:val="003557BB"/>
    <w:rsid w:val="00356594"/>
    <w:rsid w:val="00363A81"/>
    <w:rsid w:val="00372382"/>
    <w:rsid w:val="00372F7D"/>
    <w:rsid w:val="003757DC"/>
    <w:rsid w:val="00376956"/>
    <w:rsid w:val="00392C21"/>
    <w:rsid w:val="003B6A31"/>
    <w:rsid w:val="003C4E0A"/>
    <w:rsid w:val="003C7669"/>
    <w:rsid w:val="003D2E49"/>
    <w:rsid w:val="003D609A"/>
    <w:rsid w:val="003E3044"/>
    <w:rsid w:val="00407B50"/>
    <w:rsid w:val="00443DA0"/>
    <w:rsid w:val="0045337D"/>
    <w:rsid w:val="0045699D"/>
    <w:rsid w:val="00462711"/>
    <w:rsid w:val="0046523E"/>
    <w:rsid w:val="00465F6F"/>
    <w:rsid w:val="004712C1"/>
    <w:rsid w:val="00492C50"/>
    <w:rsid w:val="004A0CAE"/>
    <w:rsid w:val="004B013C"/>
    <w:rsid w:val="004B1A53"/>
    <w:rsid w:val="004B3D69"/>
    <w:rsid w:val="004B7ACE"/>
    <w:rsid w:val="004D1026"/>
    <w:rsid w:val="004F0C5D"/>
    <w:rsid w:val="005077DB"/>
    <w:rsid w:val="00507F72"/>
    <w:rsid w:val="00531672"/>
    <w:rsid w:val="00535044"/>
    <w:rsid w:val="0053660E"/>
    <w:rsid w:val="00540E21"/>
    <w:rsid w:val="00545589"/>
    <w:rsid w:val="005746B8"/>
    <w:rsid w:val="005814CF"/>
    <w:rsid w:val="00593119"/>
    <w:rsid w:val="005A1FF1"/>
    <w:rsid w:val="005A404F"/>
    <w:rsid w:val="005A6902"/>
    <w:rsid w:val="005C012E"/>
    <w:rsid w:val="005C5779"/>
    <w:rsid w:val="005C773B"/>
    <w:rsid w:val="005E1FB2"/>
    <w:rsid w:val="005E7748"/>
    <w:rsid w:val="0061524A"/>
    <w:rsid w:val="00662B7E"/>
    <w:rsid w:val="00666E4B"/>
    <w:rsid w:val="00684922"/>
    <w:rsid w:val="00685F1A"/>
    <w:rsid w:val="006A04A3"/>
    <w:rsid w:val="006A3014"/>
    <w:rsid w:val="006A7314"/>
    <w:rsid w:val="006B663B"/>
    <w:rsid w:val="006C02B6"/>
    <w:rsid w:val="006E6E2C"/>
    <w:rsid w:val="006F2DD6"/>
    <w:rsid w:val="006F3E63"/>
    <w:rsid w:val="0070395A"/>
    <w:rsid w:val="00705716"/>
    <w:rsid w:val="00723626"/>
    <w:rsid w:val="0076542A"/>
    <w:rsid w:val="00770630"/>
    <w:rsid w:val="00784D24"/>
    <w:rsid w:val="007853BA"/>
    <w:rsid w:val="00787DB6"/>
    <w:rsid w:val="007C3AF2"/>
    <w:rsid w:val="007D2081"/>
    <w:rsid w:val="007D27D0"/>
    <w:rsid w:val="007D6978"/>
    <w:rsid w:val="007D7035"/>
    <w:rsid w:val="008039BE"/>
    <w:rsid w:val="00803E74"/>
    <w:rsid w:val="00815EBF"/>
    <w:rsid w:val="00826F5D"/>
    <w:rsid w:val="00831E45"/>
    <w:rsid w:val="00842420"/>
    <w:rsid w:val="00850682"/>
    <w:rsid w:val="00850B37"/>
    <w:rsid w:val="008665AE"/>
    <w:rsid w:val="00890126"/>
    <w:rsid w:val="00893993"/>
    <w:rsid w:val="008A0012"/>
    <w:rsid w:val="008C049E"/>
    <w:rsid w:val="008C774F"/>
    <w:rsid w:val="008D15D0"/>
    <w:rsid w:val="008E0CC4"/>
    <w:rsid w:val="008F4231"/>
    <w:rsid w:val="008F4EB6"/>
    <w:rsid w:val="009011F3"/>
    <w:rsid w:val="0091734E"/>
    <w:rsid w:val="00930C46"/>
    <w:rsid w:val="0094197F"/>
    <w:rsid w:val="009456E9"/>
    <w:rsid w:val="00946C1B"/>
    <w:rsid w:val="00954A09"/>
    <w:rsid w:val="00960850"/>
    <w:rsid w:val="00960CFB"/>
    <w:rsid w:val="00966207"/>
    <w:rsid w:val="00981B89"/>
    <w:rsid w:val="009839FD"/>
    <w:rsid w:val="009A1F8F"/>
    <w:rsid w:val="009A3CDE"/>
    <w:rsid w:val="009D0CB4"/>
    <w:rsid w:val="009D2CC2"/>
    <w:rsid w:val="009D6AD1"/>
    <w:rsid w:val="009F15A8"/>
    <w:rsid w:val="00A0753B"/>
    <w:rsid w:val="00A1739A"/>
    <w:rsid w:val="00A25F4A"/>
    <w:rsid w:val="00A312F0"/>
    <w:rsid w:val="00A5100A"/>
    <w:rsid w:val="00A52778"/>
    <w:rsid w:val="00A6515D"/>
    <w:rsid w:val="00AA5617"/>
    <w:rsid w:val="00AA6FBE"/>
    <w:rsid w:val="00AB1947"/>
    <w:rsid w:val="00AB4B0B"/>
    <w:rsid w:val="00AC2840"/>
    <w:rsid w:val="00AC41FF"/>
    <w:rsid w:val="00AF105C"/>
    <w:rsid w:val="00AF3F80"/>
    <w:rsid w:val="00B01E20"/>
    <w:rsid w:val="00B03572"/>
    <w:rsid w:val="00B070D7"/>
    <w:rsid w:val="00B07FD1"/>
    <w:rsid w:val="00B11F99"/>
    <w:rsid w:val="00B177A2"/>
    <w:rsid w:val="00B23192"/>
    <w:rsid w:val="00B25CD6"/>
    <w:rsid w:val="00B27BEC"/>
    <w:rsid w:val="00B322C0"/>
    <w:rsid w:val="00B43040"/>
    <w:rsid w:val="00B46CE5"/>
    <w:rsid w:val="00B4711F"/>
    <w:rsid w:val="00B56572"/>
    <w:rsid w:val="00B6478B"/>
    <w:rsid w:val="00B64F19"/>
    <w:rsid w:val="00BA4219"/>
    <w:rsid w:val="00BA4CFC"/>
    <w:rsid w:val="00BC1F14"/>
    <w:rsid w:val="00BD3462"/>
    <w:rsid w:val="00BD4ACB"/>
    <w:rsid w:val="00BE2F34"/>
    <w:rsid w:val="00BF174F"/>
    <w:rsid w:val="00C11F4D"/>
    <w:rsid w:val="00C25937"/>
    <w:rsid w:val="00C27263"/>
    <w:rsid w:val="00C45DA5"/>
    <w:rsid w:val="00C857E4"/>
    <w:rsid w:val="00CA19DA"/>
    <w:rsid w:val="00CA2BDC"/>
    <w:rsid w:val="00CA7A3C"/>
    <w:rsid w:val="00CC7C2A"/>
    <w:rsid w:val="00CE261A"/>
    <w:rsid w:val="00CE320F"/>
    <w:rsid w:val="00CF29B9"/>
    <w:rsid w:val="00CF76DA"/>
    <w:rsid w:val="00D209C5"/>
    <w:rsid w:val="00D22F47"/>
    <w:rsid w:val="00D23DC9"/>
    <w:rsid w:val="00D25424"/>
    <w:rsid w:val="00D2651F"/>
    <w:rsid w:val="00D32448"/>
    <w:rsid w:val="00D3481D"/>
    <w:rsid w:val="00D46B9C"/>
    <w:rsid w:val="00D7046B"/>
    <w:rsid w:val="00D70F56"/>
    <w:rsid w:val="00D84B50"/>
    <w:rsid w:val="00DA48D2"/>
    <w:rsid w:val="00DB5F03"/>
    <w:rsid w:val="00DB677C"/>
    <w:rsid w:val="00DC677A"/>
    <w:rsid w:val="00DD09D7"/>
    <w:rsid w:val="00DE52B2"/>
    <w:rsid w:val="00DE6B8F"/>
    <w:rsid w:val="00E00462"/>
    <w:rsid w:val="00E26065"/>
    <w:rsid w:val="00E42C2D"/>
    <w:rsid w:val="00E46CE1"/>
    <w:rsid w:val="00E51092"/>
    <w:rsid w:val="00E524DA"/>
    <w:rsid w:val="00E90553"/>
    <w:rsid w:val="00E919BE"/>
    <w:rsid w:val="00EA30AF"/>
    <w:rsid w:val="00EA4151"/>
    <w:rsid w:val="00EB5DD2"/>
    <w:rsid w:val="00EC3A69"/>
    <w:rsid w:val="00ED2CB1"/>
    <w:rsid w:val="00EE5A8D"/>
    <w:rsid w:val="00EF2A00"/>
    <w:rsid w:val="00EF47A3"/>
    <w:rsid w:val="00F177AE"/>
    <w:rsid w:val="00F341D7"/>
    <w:rsid w:val="00F41FC3"/>
    <w:rsid w:val="00F47009"/>
    <w:rsid w:val="00F52462"/>
    <w:rsid w:val="00F717E3"/>
    <w:rsid w:val="00F76925"/>
    <w:rsid w:val="00F818FD"/>
    <w:rsid w:val="00F86F10"/>
    <w:rsid w:val="00F92046"/>
    <w:rsid w:val="00F949F6"/>
    <w:rsid w:val="00F94A62"/>
    <w:rsid w:val="00F95D4A"/>
    <w:rsid w:val="00FC766F"/>
    <w:rsid w:val="00FE1BB7"/>
    <w:rsid w:val="00FF41C8"/>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12E"/>
    <w:pPr>
      <w:spacing w:before="120" w:after="80"/>
      <w:outlineLvl w:val="0"/>
    </w:pPr>
    <w:rPr>
      <w:rFonts w:ascii="Arial Nova" w:hAnsi="Arial Nova"/>
      <w:b/>
      <w:bCs/>
      <w:sz w:val="36"/>
      <w:szCs w:val="36"/>
    </w:rPr>
  </w:style>
  <w:style w:type="paragraph" w:styleId="Heading2">
    <w:name w:val="heading 2"/>
    <w:basedOn w:val="Heading1"/>
    <w:next w:val="Normal"/>
    <w:link w:val="Heading2Char"/>
    <w:qFormat/>
    <w:rsid w:val="0076542A"/>
    <w:pPr>
      <w:outlineLvl w:val="1"/>
    </w:pPr>
    <w:rPr>
      <w:sz w:val="32"/>
      <w:szCs w:val="32"/>
    </w:rPr>
  </w:style>
  <w:style w:type="paragraph" w:styleId="Heading3">
    <w:name w:val="heading 3"/>
    <w:basedOn w:val="Normal"/>
    <w:next w:val="Normal"/>
    <w:link w:val="Heading3Char"/>
    <w:uiPriority w:val="9"/>
    <w:unhideWhenUsed/>
    <w:qFormat/>
    <w:rsid w:val="002B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6542A"/>
    <w:rPr>
      <w:rFonts w:ascii="Arial Nova" w:hAnsi="Arial Nova"/>
      <w:b/>
      <w:bCs/>
      <w:sz w:val="32"/>
      <w:szCs w:val="32"/>
    </w:rPr>
  </w:style>
  <w:style w:type="paragraph" w:customStyle="1" w:styleId="H2">
    <w:name w:val="H2"/>
    <w:basedOn w:val="Normal"/>
    <w:link w:val="H2Char"/>
    <w:qFormat/>
    <w:rsid w:val="004A0CAE"/>
    <w:pPr>
      <w:spacing w:after="120" w:line="300" w:lineRule="auto"/>
    </w:pPr>
    <w:rPr>
      <w:rFonts w:ascii="Open Sans" w:hAnsi="Open Sans" w:cs="Open Sans"/>
      <w:color w:val="6AC17B"/>
      <w:sz w:val="36"/>
      <w:szCs w:val="36"/>
    </w:rPr>
  </w:style>
  <w:style w:type="character" w:customStyle="1" w:styleId="H2Char">
    <w:name w:val="H2 Char"/>
    <w:basedOn w:val="DefaultParagraphFont"/>
    <w:link w:val="H2"/>
    <w:rsid w:val="004A0CAE"/>
    <w:rPr>
      <w:rFonts w:ascii="Open Sans" w:hAnsi="Open Sans" w:cs="Open Sans"/>
      <w:color w:val="6AC17B"/>
      <w:sz w:val="36"/>
      <w:szCs w:val="36"/>
    </w:rPr>
  </w:style>
  <w:style w:type="paragraph" w:styleId="ListParagraph">
    <w:name w:val="List Paragraph"/>
    <w:basedOn w:val="Normal"/>
    <w:qFormat/>
    <w:rsid w:val="00954A09"/>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954A09"/>
    <w:pPr>
      <w:spacing w:after="0" w:line="240" w:lineRule="auto"/>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954A09"/>
    <w:rPr>
      <w:rFonts w:ascii="Arial" w:eastAsia="Calibri" w:hAnsi="Arial" w:cs="Arial"/>
      <w:sz w:val="20"/>
      <w:szCs w:val="20"/>
    </w:rPr>
  </w:style>
  <w:style w:type="character" w:styleId="FootnoteReference">
    <w:name w:val="footnote reference"/>
    <w:basedOn w:val="DefaultParagraphFont"/>
    <w:uiPriority w:val="99"/>
    <w:semiHidden/>
    <w:unhideWhenUsed/>
    <w:rsid w:val="00954A09"/>
    <w:rPr>
      <w:vertAlign w:val="superscript"/>
    </w:rPr>
  </w:style>
  <w:style w:type="character" w:customStyle="1" w:styleId="Heading3Char">
    <w:name w:val="Heading 3 Char"/>
    <w:basedOn w:val="DefaultParagraphFont"/>
    <w:link w:val="Heading3"/>
    <w:uiPriority w:val="9"/>
    <w:rsid w:val="002B73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B7340"/>
    <w:rPr>
      <w:color w:val="0563C1" w:themeColor="hyperlink"/>
      <w:u w:val="single"/>
    </w:rPr>
  </w:style>
  <w:style w:type="character" w:styleId="Strong">
    <w:name w:val="Strong"/>
    <w:basedOn w:val="DefaultParagraphFont"/>
    <w:uiPriority w:val="22"/>
    <w:qFormat/>
    <w:rsid w:val="002B7340"/>
    <w:rPr>
      <w:b/>
      <w:bCs/>
    </w:rPr>
  </w:style>
  <w:style w:type="paragraph" w:customStyle="1" w:styleId="p">
    <w:name w:val="p"/>
    <w:basedOn w:val="Normal"/>
    <w:rsid w:val="002B73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F3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80"/>
    <w:rPr>
      <w:rFonts w:ascii="Segoe UI" w:hAnsi="Segoe UI" w:cs="Segoe UI"/>
      <w:sz w:val="18"/>
      <w:szCs w:val="18"/>
    </w:rPr>
  </w:style>
  <w:style w:type="paragraph" w:styleId="Subtitle">
    <w:name w:val="Subtitle"/>
    <w:basedOn w:val="Normal"/>
    <w:next w:val="Normal"/>
    <w:link w:val="SubtitleChar"/>
    <w:uiPriority w:val="11"/>
    <w:qFormat/>
    <w:rsid w:val="00685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5F1A"/>
    <w:rPr>
      <w:rFonts w:eastAsiaTheme="minorEastAsia"/>
      <w:color w:val="5A5A5A" w:themeColor="text1" w:themeTint="A5"/>
      <w:spacing w:val="15"/>
    </w:rPr>
  </w:style>
  <w:style w:type="paragraph" w:customStyle="1" w:styleId="Text">
    <w:name w:val="Text"/>
    <w:basedOn w:val="Normal"/>
    <w:link w:val="TextChar"/>
    <w:qFormat/>
    <w:rsid w:val="008F4EB6"/>
    <w:rPr>
      <w:rFonts w:ascii="Arial" w:hAnsi="Arial" w:cs="Arial"/>
      <w:sz w:val="24"/>
      <w:szCs w:val="24"/>
    </w:rPr>
  </w:style>
  <w:style w:type="character" w:customStyle="1" w:styleId="Heading1Char">
    <w:name w:val="Heading 1 Char"/>
    <w:basedOn w:val="DefaultParagraphFont"/>
    <w:link w:val="Heading1"/>
    <w:uiPriority w:val="9"/>
    <w:rsid w:val="005C012E"/>
    <w:rPr>
      <w:rFonts w:ascii="Arial Nova" w:hAnsi="Arial Nova"/>
      <w:b/>
      <w:bCs/>
      <w:sz w:val="36"/>
      <w:szCs w:val="36"/>
    </w:rPr>
  </w:style>
  <w:style w:type="character" w:customStyle="1" w:styleId="TextChar">
    <w:name w:val="Text Char"/>
    <w:basedOn w:val="DefaultParagraphFont"/>
    <w:link w:val="Text"/>
    <w:rsid w:val="008F4EB6"/>
    <w:rPr>
      <w:rFonts w:ascii="Arial" w:hAnsi="Arial" w:cs="Arial"/>
      <w:sz w:val="24"/>
      <w:szCs w:val="24"/>
    </w:rPr>
  </w:style>
  <w:style w:type="paragraph" w:styleId="Header">
    <w:name w:val="header"/>
    <w:basedOn w:val="Normal"/>
    <w:link w:val="HeaderChar"/>
    <w:uiPriority w:val="99"/>
    <w:unhideWhenUsed/>
    <w:rsid w:val="0054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89"/>
  </w:style>
  <w:style w:type="paragraph" w:styleId="Footer">
    <w:name w:val="footer"/>
    <w:basedOn w:val="Normal"/>
    <w:link w:val="FooterChar"/>
    <w:uiPriority w:val="99"/>
    <w:unhideWhenUsed/>
    <w:rsid w:val="0054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89"/>
  </w:style>
  <w:style w:type="table" w:customStyle="1" w:styleId="TableGrid1">
    <w:name w:val="Table Grid1"/>
    <w:basedOn w:val="TableNormal"/>
    <w:next w:val="TableGrid"/>
    <w:uiPriority w:val="59"/>
    <w:rsid w:val="00DD09D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012E"/>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92C21"/>
    <w:pPr>
      <w:tabs>
        <w:tab w:val="right" w:leader="dot" w:pos="9350"/>
      </w:tabs>
      <w:spacing w:after="100"/>
    </w:pPr>
    <w:rPr>
      <w:rFonts w:ascii="Arial Nova" w:hAnsi="Arial Nova"/>
      <w:b/>
      <w:bCs/>
      <w:noProof/>
    </w:rPr>
  </w:style>
  <w:style w:type="paragraph" w:styleId="TOC2">
    <w:name w:val="toc 2"/>
    <w:basedOn w:val="Normal"/>
    <w:next w:val="Normal"/>
    <w:autoRedefine/>
    <w:uiPriority w:val="39"/>
    <w:unhideWhenUsed/>
    <w:rsid w:val="005C012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12E"/>
    <w:pPr>
      <w:spacing w:before="120" w:after="80"/>
      <w:outlineLvl w:val="0"/>
    </w:pPr>
    <w:rPr>
      <w:rFonts w:ascii="Arial Nova" w:hAnsi="Arial Nova"/>
      <w:b/>
      <w:bCs/>
      <w:sz w:val="36"/>
      <w:szCs w:val="36"/>
    </w:rPr>
  </w:style>
  <w:style w:type="paragraph" w:styleId="Heading2">
    <w:name w:val="heading 2"/>
    <w:basedOn w:val="Heading1"/>
    <w:next w:val="Normal"/>
    <w:link w:val="Heading2Char"/>
    <w:qFormat/>
    <w:rsid w:val="0076542A"/>
    <w:pPr>
      <w:outlineLvl w:val="1"/>
    </w:pPr>
    <w:rPr>
      <w:sz w:val="32"/>
      <w:szCs w:val="32"/>
    </w:rPr>
  </w:style>
  <w:style w:type="paragraph" w:styleId="Heading3">
    <w:name w:val="heading 3"/>
    <w:basedOn w:val="Normal"/>
    <w:next w:val="Normal"/>
    <w:link w:val="Heading3Char"/>
    <w:uiPriority w:val="9"/>
    <w:unhideWhenUsed/>
    <w:qFormat/>
    <w:rsid w:val="002B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6542A"/>
    <w:rPr>
      <w:rFonts w:ascii="Arial Nova" w:hAnsi="Arial Nova"/>
      <w:b/>
      <w:bCs/>
      <w:sz w:val="32"/>
      <w:szCs w:val="32"/>
    </w:rPr>
  </w:style>
  <w:style w:type="paragraph" w:customStyle="1" w:styleId="H2">
    <w:name w:val="H2"/>
    <w:basedOn w:val="Normal"/>
    <w:link w:val="H2Char"/>
    <w:qFormat/>
    <w:rsid w:val="004A0CAE"/>
    <w:pPr>
      <w:spacing w:after="120" w:line="300" w:lineRule="auto"/>
    </w:pPr>
    <w:rPr>
      <w:rFonts w:ascii="Open Sans" w:hAnsi="Open Sans" w:cs="Open Sans"/>
      <w:color w:val="6AC17B"/>
      <w:sz w:val="36"/>
      <w:szCs w:val="36"/>
    </w:rPr>
  </w:style>
  <w:style w:type="character" w:customStyle="1" w:styleId="H2Char">
    <w:name w:val="H2 Char"/>
    <w:basedOn w:val="DefaultParagraphFont"/>
    <w:link w:val="H2"/>
    <w:rsid w:val="004A0CAE"/>
    <w:rPr>
      <w:rFonts w:ascii="Open Sans" w:hAnsi="Open Sans" w:cs="Open Sans"/>
      <w:color w:val="6AC17B"/>
      <w:sz w:val="36"/>
      <w:szCs w:val="36"/>
    </w:rPr>
  </w:style>
  <w:style w:type="paragraph" w:styleId="ListParagraph">
    <w:name w:val="List Paragraph"/>
    <w:basedOn w:val="Normal"/>
    <w:qFormat/>
    <w:rsid w:val="00954A09"/>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954A09"/>
    <w:pPr>
      <w:spacing w:after="0" w:line="240" w:lineRule="auto"/>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954A09"/>
    <w:rPr>
      <w:rFonts w:ascii="Arial" w:eastAsia="Calibri" w:hAnsi="Arial" w:cs="Arial"/>
      <w:sz w:val="20"/>
      <w:szCs w:val="20"/>
    </w:rPr>
  </w:style>
  <w:style w:type="character" w:styleId="FootnoteReference">
    <w:name w:val="footnote reference"/>
    <w:basedOn w:val="DefaultParagraphFont"/>
    <w:uiPriority w:val="99"/>
    <w:semiHidden/>
    <w:unhideWhenUsed/>
    <w:rsid w:val="00954A09"/>
    <w:rPr>
      <w:vertAlign w:val="superscript"/>
    </w:rPr>
  </w:style>
  <w:style w:type="character" w:customStyle="1" w:styleId="Heading3Char">
    <w:name w:val="Heading 3 Char"/>
    <w:basedOn w:val="DefaultParagraphFont"/>
    <w:link w:val="Heading3"/>
    <w:uiPriority w:val="9"/>
    <w:rsid w:val="002B73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B7340"/>
    <w:rPr>
      <w:color w:val="0563C1" w:themeColor="hyperlink"/>
      <w:u w:val="single"/>
    </w:rPr>
  </w:style>
  <w:style w:type="character" w:styleId="Strong">
    <w:name w:val="Strong"/>
    <w:basedOn w:val="DefaultParagraphFont"/>
    <w:uiPriority w:val="22"/>
    <w:qFormat/>
    <w:rsid w:val="002B7340"/>
    <w:rPr>
      <w:b/>
      <w:bCs/>
    </w:rPr>
  </w:style>
  <w:style w:type="paragraph" w:customStyle="1" w:styleId="p">
    <w:name w:val="p"/>
    <w:basedOn w:val="Normal"/>
    <w:rsid w:val="002B73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F3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80"/>
    <w:rPr>
      <w:rFonts w:ascii="Segoe UI" w:hAnsi="Segoe UI" w:cs="Segoe UI"/>
      <w:sz w:val="18"/>
      <w:szCs w:val="18"/>
    </w:rPr>
  </w:style>
  <w:style w:type="paragraph" w:styleId="Subtitle">
    <w:name w:val="Subtitle"/>
    <w:basedOn w:val="Normal"/>
    <w:next w:val="Normal"/>
    <w:link w:val="SubtitleChar"/>
    <w:uiPriority w:val="11"/>
    <w:qFormat/>
    <w:rsid w:val="00685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5F1A"/>
    <w:rPr>
      <w:rFonts w:eastAsiaTheme="minorEastAsia"/>
      <w:color w:val="5A5A5A" w:themeColor="text1" w:themeTint="A5"/>
      <w:spacing w:val="15"/>
    </w:rPr>
  </w:style>
  <w:style w:type="paragraph" w:customStyle="1" w:styleId="Text">
    <w:name w:val="Text"/>
    <w:basedOn w:val="Normal"/>
    <w:link w:val="TextChar"/>
    <w:qFormat/>
    <w:rsid w:val="008F4EB6"/>
    <w:rPr>
      <w:rFonts w:ascii="Arial" w:hAnsi="Arial" w:cs="Arial"/>
      <w:sz w:val="24"/>
      <w:szCs w:val="24"/>
    </w:rPr>
  </w:style>
  <w:style w:type="character" w:customStyle="1" w:styleId="Heading1Char">
    <w:name w:val="Heading 1 Char"/>
    <w:basedOn w:val="DefaultParagraphFont"/>
    <w:link w:val="Heading1"/>
    <w:uiPriority w:val="9"/>
    <w:rsid w:val="005C012E"/>
    <w:rPr>
      <w:rFonts w:ascii="Arial Nova" w:hAnsi="Arial Nova"/>
      <w:b/>
      <w:bCs/>
      <w:sz w:val="36"/>
      <w:szCs w:val="36"/>
    </w:rPr>
  </w:style>
  <w:style w:type="character" w:customStyle="1" w:styleId="TextChar">
    <w:name w:val="Text Char"/>
    <w:basedOn w:val="DefaultParagraphFont"/>
    <w:link w:val="Text"/>
    <w:rsid w:val="008F4EB6"/>
    <w:rPr>
      <w:rFonts w:ascii="Arial" w:hAnsi="Arial" w:cs="Arial"/>
      <w:sz w:val="24"/>
      <w:szCs w:val="24"/>
    </w:rPr>
  </w:style>
  <w:style w:type="paragraph" w:styleId="Header">
    <w:name w:val="header"/>
    <w:basedOn w:val="Normal"/>
    <w:link w:val="HeaderChar"/>
    <w:uiPriority w:val="99"/>
    <w:unhideWhenUsed/>
    <w:rsid w:val="0054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89"/>
  </w:style>
  <w:style w:type="paragraph" w:styleId="Footer">
    <w:name w:val="footer"/>
    <w:basedOn w:val="Normal"/>
    <w:link w:val="FooterChar"/>
    <w:uiPriority w:val="99"/>
    <w:unhideWhenUsed/>
    <w:rsid w:val="0054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89"/>
  </w:style>
  <w:style w:type="table" w:customStyle="1" w:styleId="TableGrid1">
    <w:name w:val="Table Grid1"/>
    <w:basedOn w:val="TableNormal"/>
    <w:next w:val="TableGrid"/>
    <w:uiPriority w:val="59"/>
    <w:rsid w:val="00DD09D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012E"/>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92C21"/>
    <w:pPr>
      <w:tabs>
        <w:tab w:val="right" w:leader="dot" w:pos="9350"/>
      </w:tabs>
      <w:spacing w:after="100"/>
    </w:pPr>
    <w:rPr>
      <w:rFonts w:ascii="Arial Nova" w:hAnsi="Arial Nova"/>
      <w:b/>
      <w:bCs/>
      <w:noProof/>
    </w:rPr>
  </w:style>
  <w:style w:type="paragraph" w:styleId="TOC2">
    <w:name w:val="toc 2"/>
    <w:basedOn w:val="Normal"/>
    <w:next w:val="Normal"/>
    <w:autoRedefine/>
    <w:uiPriority w:val="39"/>
    <w:unhideWhenUsed/>
    <w:rsid w:val="005C01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4753">
      <w:bodyDiv w:val="1"/>
      <w:marLeft w:val="0"/>
      <w:marRight w:val="0"/>
      <w:marTop w:val="0"/>
      <w:marBottom w:val="0"/>
      <w:divBdr>
        <w:top w:val="none" w:sz="0" w:space="0" w:color="auto"/>
        <w:left w:val="none" w:sz="0" w:space="0" w:color="auto"/>
        <w:bottom w:val="none" w:sz="0" w:space="0" w:color="auto"/>
        <w:right w:val="none" w:sz="0" w:space="0" w:color="auto"/>
      </w:divBdr>
      <w:divsChild>
        <w:div w:id="143667304">
          <w:marLeft w:val="446"/>
          <w:marRight w:val="0"/>
          <w:marTop w:val="0"/>
          <w:marBottom w:val="0"/>
          <w:divBdr>
            <w:top w:val="none" w:sz="0" w:space="0" w:color="auto"/>
            <w:left w:val="none" w:sz="0" w:space="0" w:color="auto"/>
            <w:bottom w:val="none" w:sz="0" w:space="0" w:color="auto"/>
            <w:right w:val="none" w:sz="0" w:space="0" w:color="auto"/>
          </w:divBdr>
        </w:div>
        <w:div w:id="174656006">
          <w:marLeft w:val="446"/>
          <w:marRight w:val="0"/>
          <w:marTop w:val="0"/>
          <w:marBottom w:val="0"/>
          <w:divBdr>
            <w:top w:val="none" w:sz="0" w:space="0" w:color="auto"/>
            <w:left w:val="none" w:sz="0" w:space="0" w:color="auto"/>
            <w:bottom w:val="none" w:sz="0" w:space="0" w:color="auto"/>
            <w:right w:val="none" w:sz="0" w:space="0" w:color="auto"/>
          </w:divBdr>
        </w:div>
      </w:divsChild>
    </w:div>
    <w:div w:id="1009986889">
      <w:bodyDiv w:val="1"/>
      <w:marLeft w:val="0"/>
      <w:marRight w:val="0"/>
      <w:marTop w:val="0"/>
      <w:marBottom w:val="0"/>
      <w:divBdr>
        <w:top w:val="none" w:sz="0" w:space="0" w:color="auto"/>
        <w:left w:val="none" w:sz="0" w:space="0" w:color="auto"/>
        <w:bottom w:val="none" w:sz="0" w:space="0" w:color="auto"/>
        <w:right w:val="none" w:sz="0" w:space="0" w:color="auto"/>
      </w:divBdr>
    </w:div>
    <w:div w:id="1120952291">
      <w:bodyDiv w:val="1"/>
      <w:marLeft w:val="0"/>
      <w:marRight w:val="0"/>
      <w:marTop w:val="0"/>
      <w:marBottom w:val="0"/>
      <w:divBdr>
        <w:top w:val="none" w:sz="0" w:space="0" w:color="auto"/>
        <w:left w:val="none" w:sz="0" w:space="0" w:color="auto"/>
        <w:bottom w:val="none" w:sz="0" w:space="0" w:color="auto"/>
        <w:right w:val="none" w:sz="0" w:space="0" w:color="auto"/>
      </w:divBdr>
    </w:div>
    <w:div w:id="1398824608">
      <w:bodyDiv w:val="1"/>
      <w:marLeft w:val="0"/>
      <w:marRight w:val="0"/>
      <w:marTop w:val="0"/>
      <w:marBottom w:val="0"/>
      <w:divBdr>
        <w:top w:val="none" w:sz="0" w:space="0" w:color="auto"/>
        <w:left w:val="none" w:sz="0" w:space="0" w:color="auto"/>
        <w:bottom w:val="none" w:sz="0" w:space="0" w:color="auto"/>
        <w:right w:val="none" w:sz="0" w:space="0" w:color="auto"/>
      </w:divBdr>
    </w:div>
    <w:div w:id="1846817316">
      <w:bodyDiv w:val="1"/>
      <w:marLeft w:val="0"/>
      <w:marRight w:val="0"/>
      <w:marTop w:val="0"/>
      <w:marBottom w:val="0"/>
      <w:divBdr>
        <w:top w:val="none" w:sz="0" w:space="0" w:color="auto"/>
        <w:left w:val="none" w:sz="0" w:space="0" w:color="auto"/>
        <w:bottom w:val="none" w:sz="0" w:space="0" w:color="auto"/>
        <w:right w:val="none" w:sz="0" w:space="0" w:color="auto"/>
      </w:divBdr>
    </w:div>
    <w:div w:id="19209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data.ca.gov/dataset/dental-utilization-measures-and-sealant-data-county-and-age-calendar-year-2013-201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stdd.org/docs/early-childhood-caries-policy-statement-6-5-12.doc" TargetMode="External"/><Relationship Id="rId1" Type="http://schemas.openxmlformats.org/officeDocument/2006/relationships/hyperlink" Target="http://www.dhcs.ca.gov/dataandstats/statistics/Pages/Medi-Cal-Certified-EligiblesRecentTren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2CC9-BA79-4DDA-9F2F-18159A7F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Cassel</dc:creator>
  <cp:lastModifiedBy>Valencia, Abraham</cp:lastModifiedBy>
  <cp:revision>1</cp:revision>
  <cp:lastPrinted>2020-01-13T17:04:00Z</cp:lastPrinted>
  <dcterms:created xsi:type="dcterms:W3CDTF">2021-09-28T22:30:00Z</dcterms:created>
  <dcterms:modified xsi:type="dcterms:W3CDTF">2021-09-28T22:30:00Z</dcterms:modified>
</cp:coreProperties>
</file>